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06E" w:rsidRPr="00D63951" w:rsidRDefault="00D8692E" w:rsidP="00D63951">
      <w:pPr>
        <w:rPr>
          <w:b/>
        </w:rPr>
      </w:pPr>
      <w:r>
        <w:rPr>
          <w:b/>
        </w:rPr>
        <w:t>1.2</w:t>
      </w:r>
      <w:r w:rsidR="00D63951">
        <w:rPr>
          <w:b/>
        </w:rPr>
        <w:t xml:space="preserve"> </w:t>
      </w:r>
      <w:r w:rsidR="005D0978">
        <w:rPr>
          <w:b/>
        </w:rPr>
        <w:t>Opis technologic</w:t>
      </w:r>
      <w:r w:rsidR="00D51280">
        <w:rPr>
          <w:b/>
        </w:rPr>
        <w:t>zny instalacji detekcji CO</w:t>
      </w:r>
    </w:p>
    <w:p w:rsidR="00A75CFE" w:rsidRPr="005D0978" w:rsidRDefault="00A75CFE" w:rsidP="007A4FC2">
      <w:pPr>
        <w:pStyle w:val="Tekstpodstawowy22"/>
        <w:tabs>
          <w:tab w:val="clear" w:pos="720"/>
          <w:tab w:val="left" w:pos="0"/>
        </w:tabs>
        <w:spacing w:line="276" w:lineRule="auto"/>
        <w:ind w:left="0" w:firstLine="709"/>
        <w:rPr>
          <w:rFonts w:asciiTheme="minorHAnsi" w:hAnsiTheme="minorHAnsi"/>
          <w:sz w:val="22"/>
          <w:szCs w:val="22"/>
        </w:rPr>
      </w:pPr>
      <w:r w:rsidRPr="005D0978">
        <w:rPr>
          <w:rFonts w:asciiTheme="minorHAnsi" w:hAnsiTheme="minorHAnsi"/>
          <w:sz w:val="22"/>
          <w:szCs w:val="22"/>
        </w:rPr>
        <w:t>Zatrucie tlenkiem węgla należy do najczęściej spotykanych form zatrucia gazem. Między innymi stanowi produkt niedokończonego procesu spalania węgla, w komorze spalania silnika przy ograniczonej ilości powietrza. Ponieważ jest on gazem bezbarwnym i bezwonnym, wykrycie jego obecności poprzez percepcje jest praktycznie nie możliwe. Zagadnie</w:t>
      </w:r>
      <w:r w:rsidR="009124A4" w:rsidRPr="005D0978">
        <w:rPr>
          <w:rFonts w:asciiTheme="minorHAnsi" w:hAnsiTheme="minorHAnsi"/>
          <w:sz w:val="22"/>
          <w:szCs w:val="22"/>
        </w:rPr>
        <w:t>nie</w:t>
      </w:r>
      <w:r w:rsidRPr="005D0978">
        <w:rPr>
          <w:rFonts w:asciiTheme="minorHAnsi" w:hAnsiTheme="minorHAnsi"/>
          <w:sz w:val="22"/>
          <w:szCs w:val="22"/>
        </w:rPr>
        <w:t xml:space="preserve"> detekcji tego gazu stanowi istotną kwestię, ze względu na fakt iż zaliczany jest on do gazów mocno trujących. Biorąc pod uwagę iż jego stężenie w spalinach samochodowych może przekroczyć nawet 10% (objętościowo), szczególnie w przypadku garaży podziemnych problematyka jego usuwania jest szczególnie istotna.</w:t>
      </w:r>
    </w:p>
    <w:p w:rsidR="00A75CFE" w:rsidRDefault="00A75CFE" w:rsidP="007A4FC2">
      <w:pPr>
        <w:pStyle w:val="Tekstpodstawowy22"/>
        <w:spacing w:line="276" w:lineRule="auto"/>
        <w:ind w:left="0"/>
        <w:rPr>
          <w:rFonts w:asciiTheme="minorHAnsi" w:hAnsiTheme="minorHAnsi"/>
          <w:sz w:val="22"/>
          <w:szCs w:val="22"/>
        </w:rPr>
      </w:pPr>
      <w:r w:rsidRPr="005D0978">
        <w:rPr>
          <w:szCs w:val="24"/>
        </w:rPr>
        <w:tab/>
        <w:t xml:space="preserve"> </w:t>
      </w:r>
      <w:r w:rsidRPr="005D0978">
        <w:rPr>
          <w:rFonts w:asciiTheme="minorHAnsi" w:hAnsiTheme="minorHAnsi"/>
          <w:sz w:val="22"/>
          <w:szCs w:val="22"/>
        </w:rPr>
        <w:t>Popularnie zwany jako czad, do organizmu wchłaniany jest drogą oddechową, w ilości zależnej od jego stężenia w powietrzu, częstości oddechów (wentylacji płuc) i czasu narażenia. Bieżąca detekcja jego obecności, rozumiana jako monitoring oraz rozpoznanie progów stężenia tego gazu, na poziomie który może być zagrożeniem dla zdrowia człowieka stanowi bardzo istotną kwestię w przypadku zamkniętych garaży podziemnych. Oczywisty brak swobodnego przepływu powietrza w przypadku takich przestrzeni, stawia wymóg wentylacji mechanicznej, która nie dopuści do nagromadzenia się tlenku węgla w ilościach mogących doprowadzić do trwałych zmian w organizmie. Stężenie od 0,10-0,20% tlenku węgla w ciągu 30 minut powoduje śmierć, na skutek wiązania tlenu z krwi człowieka. Przy stężeniu objętościowym 0,01% tlenku węgla w ciągu dłuższego czasu mogą wystąpić przewlekłe lub ostre zatrucia.</w:t>
      </w:r>
      <w:r w:rsidRPr="00A75CFE">
        <w:rPr>
          <w:rFonts w:asciiTheme="minorHAnsi" w:hAnsiTheme="minorHAnsi"/>
          <w:sz w:val="22"/>
          <w:szCs w:val="22"/>
        </w:rPr>
        <w:t xml:space="preserve"> </w:t>
      </w:r>
    </w:p>
    <w:p w:rsidR="00B02132" w:rsidRPr="00A75CFE" w:rsidRDefault="00B02132" w:rsidP="007A4FC2">
      <w:pPr>
        <w:pStyle w:val="Tekstpodstawowy22"/>
        <w:spacing w:line="276" w:lineRule="auto"/>
        <w:ind w:left="0"/>
        <w:rPr>
          <w:rFonts w:asciiTheme="minorHAnsi" w:hAnsiTheme="minorHAnsi"/>
          <w:sz w:val="22"/>
          <w:szCs w:val="22"/>
        </w:rPr>
      </w:pPr>
    </w:p>
    <w:tbl>
      <w:tblPr>
        <w:tblW w:w="0" w:type="auto"/>
        <w:tblInd w:w="35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233"/>
        <w:gridCol w:w="6711"/>
      </w:tblGrid>
      <w:tr w:rsidR="00A75CFE" w:rsidRPr="00A75CFE" w:rsidTr="00752B16">
        <w:trPr>
          <w:trHeight w:hRule="exact" w:val="851"/>
        </w:trPr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5CFE" w:rsidRPr="00A75CFE" w:rsidRDefault="00A75CFE" w:rsidP="00A75CFE">
            <w:pPr>
              <w:pStyle w:val="Tekstpodstawowy22"/>
              <w:snapToGrid w:val="0"/>
              <w:spacing w:line="276" w:lineRule="auto"/>
              <w:ind w:left="0"/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A75CFE">
              <w:rPr>
                <w:rFonts w:asciiTheme="minorHAnsi" w:hAnsiTheme="minorHAnsi"/>
                <w:color w:val="000000"/>
                <w:sz w:val="22"/>
                <w:szCs w:val="22"/>
              </w:rPr>
              <w:t>Stężenie objętościowe CO w powietrzu</w:t>
            </w:r>
          </w:p>
        </w:tc>
        <w:tc>
          <w:tcPr>
            <w:tcW w:w="6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CFE" w:rsidRPr="00A75CFE" w:rsidRDefault="00A75CFE" w:rsidP="00A75CFE">
            <w:pPr>
              <w:pStyle w:val="Tekstpodstawowy22"/>
              <w:spacing w:line="276" w:lineRule="auto"/>
              <w:ind w:left="0"/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A75CFE">
              <w:rPr>
                <w:rFonts w:asciiTheme="minorHAnsi" w:hAnsiTheme="minorHAnsi"/>
                <w:color w:val="000000"/>
                <w:sz w:val="22"/>
                <w:szCs w:val="22"/>
              </w:rPr>
              <w:t>Wpływ na organizm ludzki</w:t>
            </w:r>
          </w:p>
        </w:tc>
      </w:tr>
      <w:tr w:rsidR="00A75CFE" w:rsidRPr="00A75CFE" w:rsidTr="00752B16"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5CFE" w:rsidRPr="00A75CFE" w:rsidRDefault="00A75CFE" w:rsidP="00A75CFE">
            <w:pPr>
              <w:pStyle w:val="Tekstpodstawowy22"/>
              <w:snapToGrid w:val="0"/>
              <w:spacing w:line="276" w:lineRule="auto"/>
              <w:ind w:left="0"/>
              <w:rPr>
                <w:rFonts w:asciiTheme="minorHAnsi" w:hAnsiTheme="minorHAnsi"/>
                <w:sz w:val="22"/>
                <w:szCs w:val="22"/>
              </w:rPr>
            </w:pPr>
            <w:r w:rsidRPr="00A75CFE">
              <w:rPr>
                <w:rFonts w:asciiTheme="minorHAnsi" w:hAnsiTheme="minorHAnsi"/>
                <w:sz w:val="22"/>
                <w:szCs w:val="22"/>
              </w:rPr>
              <w:t>100-200 ppm</w:t>
            </w:r>
          </w:p>
        </w:tc>
        <w:tc>
          <w:tcPr>
            <w:tcW w:w="6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CFE" w:rsidRPr="00A75CFE" w:rsidRDefault="00A75CFE" w:rsidP="00A75CFE">
            <w:pPr>
              <w:pStyle w:val="Tekstpodstawowy22"/>
              <w:snapToGrid w:val="0"/>
              <w:spacing w:line="276" w:lineRule="auto"/>
              <w:ind w:left="0"/>
              <w:rPr>
                <w:rFonts w:asciiTheme="minorHAnsi" w:hAnsiTheme="minorHAnsi"/>
                <w:sz w:val="22"/>
                <w:szCs w:val="22"/>
              </w:rPr>
            </w:pPr>
            <w:r w:rsidRPr="00A75CFE">
              <w:rPr>
                <w:rFonts w:asciiTheme="minorHAnsi" w:hAnsiTheme="minorHAnsi"/>
                <w:sz w:val="22"/>
                <w:szCs w:val="22"/>
              </w:rPr>
              <w:t>Lekki ból głowy przy ekspozycji przez 2-3 godziny</w:t>
            </w:r>
          </w:p>
        </w:tc>
      </w:tr>
      <w:tr w:rsidR="00A75CFE" w:rsidRPr="00A75CFE" w:rsidTr="00752B16">
        <w:trPr>
          <w:trHeight w:hRule="exact" w:val="794"/>
        </w:trPr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5CFE" w:rsidRPr="00A75CFE" w:rsidRDefault="00A75CFE" w:rsidP="00A75CFE">
            <w:pPr>
              <w:pStyle w:val="Tekstpodstawowy22"/>
              <w:snapToGrid w:val="0"/>
              <w:spacing w:line="276" w:lineRule="auto"/>
              <w:ind w:left="0"/>
              <w:rPr>
                <w:rFonts w:asciiTheme="minorHAnsi" w:hAnsiTheme="minorHAnsi"/>
                <w:sz w:val="22"/>
                <w:szCs w:val="22"/>
              </w:rPr>
            </w:pPr>
            <w:r w:rsidRPr="00A75CFE">
              <w:rPr>
                <w:rFonts w:asciiTheme="minorHAnsi" w:hAnsiTheme="minorHAnsi"/>
                <w:sz w:val="22"/>
                <w:szCs w:val="22"/>
              </w:rPr>
              <w:t>400ppm</w:t>
            </w:r>
          </w:p>
        </w:tc>
        <w:tc>
          <w:tcPr>
            <w:tcW w:w="6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CFE" w:rsidRPr="00A75CFE" w:rsidRDefault="00A75CFE" w:rsidP="00A75CFE">
            <w:pPr>
              <w:pStyle w:val="Tekstpodstawowy22"/>
              <w:snapToGrid w:val="0"/>
              <w:spacing w:line="276" w:lineRule="auto"/>
              <w:ind w:left="0"/>
              <w:rPr>
                <w:rFonts w:asciiTheme="minorHAnsi" w:hAnsiTheme="minorHAnsi"/>
                <w:sz w:val="22"/>
                <w:szCs w:val="22"/>
              </w:rPr>
            </w:pPr>
            <w:r w:rsidRPr="00A75CFE">
              <w:rPr>
                <w:rFonts w:asciiTheme="minorHAnsi" w:hAnsiTheme="minorHAnsi"/>
                <w:sz w:val="22"/>
                <w:szCs w:val="22"/>
              </w:rPr>
              <w:t>Silny ból głowy dający się odczuć po upływie godziny po wdychaniu tego stężenia</w:t>
            </w:r>
          </w:p>
        </w:tc>
      </w:tr>
      <w:tr w:rsidR="00A75CFE" w:rsidRPr="00A75CFE" w:rsidTr="00752B16">
        <w:trPr>
          <w:trHeight w:hRule="exact" w:val="794"/>
        </w:trPr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5CFE" w:rsidRPr="00A75CFE" w:rsidRDefault="00A75CFE" w:rsidP="00A75CFE">
            <w:pPr>
              <w:pStyle w:val="Tekstpodstawowy22"/>
              <w:snapToGrid w:val="0"/>
              <w:spacing w:line="276" w:lineRule="auto"/>
              <w:ind w:left="0"/>
              <w:rPr>
                <w:rFonts w:asciiTheme="minorHAnsi" w:hAnsiTheme="minorHAnsi"/>
                <w:sz w:val="22"/>
                <w:szCs w:val="22"/>
              </w:rPr>
            </w:pPr>
            <w:r w:rsidRPr="00A75CFE">
              <w:rPr>
                <w:rFonts w:asciiTheme="minorHAnsi" w:hAnsiTheme="minorHAnsi"/>
                <w:sz w:val="22"/>
                <w:szCs w:val="22"/>
              </w:rPr>
              <w:t>800ppm</w:t>
            </w:r>
          </w:p>
        </w:tc>
        <w:tc>
          <w:tcPr>
            <w:tcW w:w="6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CFE" w:rsidRPr="00A75CFE" w:rsidRDefault="00A75CFE" w:rsidP="00A75CFE">
            <w:pPr>
              <w:pStyle w:val="Tekstpodstawowy22"/>
              <w:snapToGrid w:val="0"/>
              <w:spacing w:line="276" w:lineRule="auto"/>
              <w:ind w:left="0"/>
              <w:rPr>
                <w:rFonts w:asciiTheme="minorHAnsi" w:hAnsiTheme="minorHAnsi"/>
                <w:sz w:val="22"/>
                <w:szCs w:val="22"/>
              </w:rPr>
            </w:pPr>
            <w:r w:rsidRPr="00A75CFE">
              <w:rPr>
                <w:rFonts w:asciiTheme="minorHAnsi" w:hAnsiTheme="minorHAnsi"/>
                <w:sz w:val="22"/>
                <w:szCs w:val="22"/>
              </w:rPr>
              <w:t>Zawroty głowy, wymioty i konwulsje po 45 minutach wdychania, po dwóch godzinach trwała śpiączka</w:t>
            </w:r>
          </w:p>
        </w:tc>
      </w:tr>
      <w:tr w:rsidR="00A75CFE" w:rsidRPr="00A75CFE" w:rsidTr="00752B16">
        <w:trPr>
          <w:trHeight w:hRule="exact" w:val="794"/>
        </w:trPr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5CFE" w:rsidRPr="00A75CFE" w:rsidRDefault="00A75CFE" w:rsidP="00A75CFE">
            <w:pPr>
              <w:pStyle w:val="Tekstpodstawowy22"/>
              <w:snapToGrid w:val="0"/>
              <w:spacing w:line="276" w:lineRule="auto"/>
              <w:ind w:left="0"/>
              <w:rPr>
                <w:rFonts w:asciiTheme="minorHAnsi" w:hAnsiTheme="minorHAnsi"/>
                <w:sz w:val="22"/>
                <w:szCs w:val="22"/>
              </w:rPr>
            </w:pPr>
            <w:r w:rsidRPr="00A75CFE">
              <w:rPr>
                <w:rFonts w:asciiTheme="minorHAnsi" w:hAnsiTheme="minorHAnsi"/>
                <w:sz w:val="22"/>
                <w:szCs w:val="22"/>
              </w:rPr>
              <w:t>1600ppm</w:t>
            </w:r>
          </w:p>
        </w:tc>
        <w:tc>
          <w:tcPr>
            <w:tcW w:w="6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CFE" w:rsidRPr="00A75CFE" w:rsidRDefault="00A75CFE" w:rsidP="00A75CFE">
            <w:pPr>
              <w:pStyle w:val="Tekstpodstawowy22"/>
              <w:snapToGrid w:val="0"/>
              <w:spacing w:line="276" w:lineRule="auto"/>
              <w:ind w:left="0"/>
              <w:rPr>
                <w:rFonts w:asciiTheme="minorHAnsi" w:hAnsiTheme="minorHAnsi"/>
                <w:sz w:val="22"/>
                <w:szCs w:val="22"/>
              </w:rPr>
            </w:pPr>
            <w:r w:rsidRPr="00A75CFE">
              <w:rPr>
                <w:rFonts w:asciiTheme="minorHAnsi" w:hAnsiTheme="minorHAnsi"/>
                <w:sz w:val="22"/>
                <w:szCs w:val="22"/>
              </w:rPr>
              <w:t>Silny ból głowy, wymioty, konwulsje po 20 minutach, zgon po dwóch godzinach</w:t>
            </w:r>
          </w:p>
        </w:tc>
      </w:tr>
      <w:tr w:rsidR="00A75CFE" w:rsidRPr="00A75CFE" w:rsidTr="00752B16">
        <w:trPr>
          <w:trHeight w:hRule="exact" w:val="794"/>
        </w:trPr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5CFE" w:rsidRPr="00A75CFE" w:rsidRDefault="00A75CFE" w:rsidP="00A75CFE">
            <w:pPr>
              <w:pStyle w:val="Tekstpodstawowy22"/>
              <w:snapToGrid w:val="0"/>
              <w:spacing w:line="276" w:lineRule="auto"/>
              <w:ind w:left="0"/>
              <w:rPr>
                <w:rFonts w:asciiTheme="minorHAnsi" w:hAnsiTheme="minorHAnsi"/>
                <w:sz w:val="22"/>
                <w:szCs w:val="22"/>
              </w:rPr>
            </w:pPr>
            <w:r w:rsidRPr="00A75CFE">
              <w:rPr>
                <w:rFonts w:asciiTheme="minorHAnsi" w:hAnsiTheme="minorHAnsi"/>
                <w:sz w:val="22"/>
                <w:szCs w:val="22"/>
              </w:rPr>
              <w:t>3200ppm</w:t>
            </w:r>
          </w:p>
        </w:tc>
        <w:tc>
          <w:tcPr>
            <w:tcW w:w="6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CFE" w:rsidRPr="00A75CFE" w:rsidRDefault="00A75CFE" w:rsidP="00A75CFE">
            <w:pPr>
              <w:pStyle w:val="Tekstpodstawowy22"/>
              <w:snapToGrid w:val="0"/>
              <w:spacing w:line="276" w:lineRule="auto"/>
              <w:ind w:left="0"/>
              <w:rPr>
                <w:rFonts w:asciiTheme="minorHAnsi" w:hAnsiTheme="minorHAnsi"/>
                <w:sz w:val="22"/>
                <w:szCs w:val="22"/>
              </w:rPr>
            </w:pPr>
            <w:r w:rsidRPr="00A75CFE">
              <w:rPr>
                <w:rFonts w:asciiTheme="minorHAnsi" w:hAnsiTheme="minorHAnsi"/>
                <w:sz w:val="22"/>
                <w:szCs w:val="22"/>
              </w:rPr>
              <w:t>Intensywny ból głowy i wymioty po 5-10 minutach, zgon po 30 minutach</w:t>
            </w:r>
          </w:p>
        </w:tc>
      </w:tr>
      <w:tr w:rsidR="00A75CFE" w:rsidRPr="00A75CFE" w:rsidTr="00752B16"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5CFE" w:rsidRPr="00A75CFE" w:rsidRDefault="00A75CFE" w:rsidP="00A75CFE">
            <w:pPr>
              <w:pStyle w:val="Tekstpodstawowy22"/>
              <w:snapToGrid w:val="0"/>
              <w:spacing w:line="276" w:lineRule="auto"/>
              <w:ind w:left="0"/>
              <w:rPr>
                <w:rFonts w:asciiTheme="minorHAnsi" w:hAnsiTheme="minorHAnsi"/>
                <w:sz w:val="22"/>
                <w:szCs w:val="22"/>
              </w:rPr>
            </w:pPr>
            <w:r w:rsidRPr="00A75CFE">
              <w:rPr>
                <w:rFonts w:asciiTheme="minorHAnsi" w:hAnsiTheme="minorHAnsi"/>
                <w:sz w:val="22"/>
                <w:szCs w:val="22"/>
              </w:rPr>
              <w:t>6400ppm</w:t>
            </w:r>
          </w:p>
        </w:tc>
        <w:tc>
          <w:tcPr>
            <w:tcW w:w="6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CFE" w:rsidRPr="00A75CFE" w:rsidRDefault="00A75CFE" w:rsidP="00A75CFE">
            <w:pPr>
              <w:pStyle w:val="Tekstpodstawowy22"/>
              <w:snapToGrid w:val="0"/>
              <w:spacing w:line="276" w:lineRule="auto"/>
              <w:ind w:left="0"/>
              <w:rPr>
                <w:rFonts w:asciiTheme="minorHAnsi" w:hAnsiTheme="minorHAnsi"/>
                <w:sz w:val="22"/>
                <w:szCs w:val="22"/>
              </w:rPr>
            </w:pPr>
            <w:r w:rsidRPr="00A75CFE">
              <w:rPr>
                <w:rFonts w:asciiTheme="minorHAnsi" w:hAnsiTheme="minorHAnsi"/>
                <w:sz w:val="22"/>
                <w:szCs w:val="22"/>
              </w:rPr>
              <w:t>Ból głowy i wymioty po 1-2 minutach, zgon w niecałe 20 minut</w:t>
            </w:r>
          </w:p>
        </w:tc>
      </w:tr>
      <w:tr w:rsidR="00A75CFE" w:rsidRPr="00A75CFE" w:rsidTr="00752B16"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5CFE" w:rsidRPr="00A75CFE" w:rsidRDefault="00A75CFE" w:rsidP="00A75CFE">
            <w:pPr>
              <w:pStyle w:val="Tekstpodstawowy22"/>
              <w:snapToGrid w:val="0"/>
              <w:spacing w:line="276" w:lineRule="auto"/>
              <w:ind w:left="0"/>
              <w:rPr>
                <w:rFonts w:asciiTheme="minorHAnsi" w:hAnsiTheme="minorHAnsi"/>
                <w:sz w:val="22"/>
                <w:szCs w:val="22"/>
              </w:rPr>
            </w:pPr>
            <w:r w:rsidRPr="00A75CFE">
              <w:rPr>
                <w:rFonts w:asciiTheme="minorHAnsi" w:hAnsiTheme="minorHAnsi"/>
                <w:sz w:val="22"/>
                <w:szCs w:val="22"/>
              </w:rPr>
              <w:t>12 800 ppm</w:t>
            </w:r>
          </w:p>
        </w:tc>
        <w:tc>
          <w:tcPr>
            <w:tcW w:w="6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CFE" w:rsidRPr="00A75CFE" w:rsidRDefault="00A75CFE" w:rsidP="00A75CFE">
            <w:pPr>
              <w:pStyle w:val="Tekstpodstawowy22"/>
              <w:snapToGrid w:val="0"/>
              <w:spacing w:line="276" w:lineRule="auto"/>
              <w:ind w:left="0"/>
              <w:rPr>
                <w:rFonts w:asciiTheme="minorHAnsi" w:hAnsiTheme="minorHAnsi"/>
                <w:sz w:val="22"/>
                <w:szCs w:val="22"/>
              </w:rPr>
            </w:pPr>
            <w:r w:rsidRPr="00A75CFE">
              <w:rPr>
                <w:rFonts w:asciiTheme="minorHAnsi" w:hAnsiTheme="minorHAnsi"/>
                <w:sz w:val="22"/>
                <w:szCs w:val="22"/>
              </w:rPr>
              <w:t>Utrata przytomności po 2-3 wdechach, śmierć po 3 minutach</w:t>
            </w:r>
          </w:p>
        </w:tc>
      </w:tr>
    </w:tbl>
    <w:p w:rsidR="00A75CFE" w:rsidRPr="00A75CFE" w:rsidRDefault="00A75CFE" w:rsidP="00A75CFE"/>
    <w:p w:rsidR="00A75CFE" w:rsidRPr="00A75CFE" w:rsidRDefault="00A75CFE" w:rsidP="007A4FC2">
      <w:pPr>
        <w:pStyle w:val="Tekstpodstawowy22"/>
        <w:spacing w:line="276" w:lineRule="auto"/>
        <w:ind w:left="0"/>
        <w:rPr>
          <w:rFonts w:asciiTheme="minorHAnsi" w:hAnsiTheme="minorHAnsi"/>
          <w:sz w:val="22"/>
          <w:szCs w:val="22"/>
        </w:rPr>
      </w:pPr>
      <w:r w:rsidRPr="00A75CFE">
        <w:rPr>
          <w:rFonts w:asciiTheme="minorHAnsi" w:hAnsiTheme="minorHAnsi"/>
          <w:sz w:val="22"/>
          <w:szCs w:val="22"/>
        </w:rPr>
        <w:tab/>
        <w:t xml:space="preserve">Samo okresowe załączanie wentylacji bytowej garażu stanowi rozwiązanie nie ergonomiczne, a co gorsza nie rozwiązuje problemu usunięcia nadmiernej ilości tlenku węgla. Z oczywistych względów wydajność wymiany powietrza, w tym przypadku ma nie wiele wspólnego z rzeczywistym stopniem jego zatrucia, będącym bezpośrednio zależnym od zmiennego w ciągu dnia natężenia ruchu pojazdów, na jego terenie. Istnieje zatem potrzeba ciągłego  nadzorowania powierzchni pod kątem </w:t>
      </w:r>
      <w:r w:rsidRPr="00A75CFE">
        <w:rPr>
          <w:rFonts w:asciiTheme="minorHAnsi" w:hAnsiTheme="minorHAnsi"/>
          <w:sz w:val="22"/>
          <w:szCs w:val="22"/>
        </w:rPr>
        <w:lastRenderedPageBreak/>
        <w:t>dopuszczalnych stężeń tlenku węgla, wykorzystując do tego celu odpowiednio skalibrowane detektory. Rozwiązanie takie pozwala na rezygnację z ciągłej pracy wentylacji bytowej, co więcej na ograniczenie częstotliwości załączania systemu w przypadku okresowego przewietrzania.</w:t>
      </w:r>
      <w:r w:rsidR="00C25470">
        <w:rPr>
          <w:rFonts w:asciiTheme="minorHAnsi" w:hAnsiTheme="minorHAnsi"/>
          <w:sz w:val="22"/>
          <w:szCs w:val="22"/>
        </w:rPr>
        <w:t xml:space="preserve"> W ten sposób zredukowana ilość godzin pracy wentylatorów </w:t>
      </w:r>
      <w:r w:rsidRPr="00A75CFE">
        <w:rPr>
          <w:rFonts w:asciiTheme="minorHAnsi" w:hAnsiTheme="minorHAnsi"/>
          <w:sz w:val="22"/>
          <w:szCs w:val="22"/>
        </w:rPr>
        <w:t>zapewnia należyte gospodarowanie energią elektryczną, spełniając warunki energetyczne budynków klasy A, przy zachowaniu odpowiednich proporcji wydajności wymiany powietrza w stosunku do jego stopnia zanieczyszczenia. W przypadku wykrycia nadmiernych stężeń syst</w:t>
      </w:r>
      <w:r w:rsidR="00C25470">
        <w:rPr>
          <w:rFonts w:asciiTheme="minorHAnsi" w:hAnsiTheme="minorHAnsi"/>
          <w:sz w:val="22"/>
          <w:szCs w:val="22"/>
        </w:rPr>
        <w:t>em pracuje realizując wentylację</w:t>
      </w:r>
      <w:r w:rsidRPr="00A75CFE">
        <w:rPr>
          <w:rFonts w:asciiTheme="minorHAnsi" w:hAnsiTheme="minorHAnsi"/>
          <w:sz w:val="22"/>
          <w:szCs w:val="22"/>
        </w:rPr>
        <w:t xml:space="preserve"> bytową w zaprojektowanym algorytmie. W zależności od strefy w której zostało wykryte nadmierne stężenie tlenku węgla, uruchamiane zostają odpowiednie wentylatory strumieniowe wraz z wentylatorami pełniącymi rolę wyciągów oraz nawiewu. Rozróżniane są dwa stopnie alarmu, ze względu na natężenie CO według przyjętych progów. Na dzień dzisiejszy stan prawny w Polsce w tej kwestii reguluje „Rozporządzenie Ministra Gospodarki i Pracy z dnia 10.10.2005 zmieniające rozporządzenie w sprawie najwyższych dopuszczalnych stężeń i natężeń czynników szkodliwych dla zdrowia w środowisku pracy”. Zgodnie z tym rozporządzeniem dopuszczalne stężenie NDS to 23 mg/m3, a </w:t>
      </w:r>
      <w:proofErr w:type="spellStart"/>
      <w:r w:rsidRPr="00A75CFE">
        <w:rPr>
          <w:rFonts w:asciiTheme="minorHAnsi" w:hAnsiTheme="minorHAnsi"/>
          <w:sz w:val="22"/>
          <w:szCs w:val="22"/>
        </w:rPr>
        <w:t>NDSCh</w:t>
      </w:r>
      <w:proofErr w:type="spellEnd"/>
      <w:r w:rsidRPr="00A75CFE">
        <w:rPr>
          <w:rFonts w:asciiTheme="minorHAnsi" w:hAnsiTheme="minorHAnsi"/>
          <w:sz w:val="22"/>
          <w:szCs w:val="22"/>
        </w:rPr>
        <w:t xml:space="preserve"> to 117 mg/m3</w:t>
      </w:r>
      <w:r w:rsidR="006C656E">
        <w:rPr>
          <w:rFonts w:asciiTheme="minorHAnsi" w:hAnsiTheme="minorHAnsi"/>
          <w:sz w:val="22"/>
          <w:szCs w:val="22"/>
        </w:rPr>
        <w:t xml:space="preserve"> (100 ppm)</w:t>
      </w:r>
      <w:r w:rsidRPr="00A75CFE">
        <w:rPr>
          <w:rFonts w:asciiTheme="minorHAnsi" w:hAnsiTheme="minorHAnsi"/>
          <w:sz w:val="22"/>
          <w:szCs w:val="22"/>
        </w:rPr>
        <w:t xml:space="preserve">. </w:t>
      </w:r>
    </w:p>
    <w:p w:rsidR="00A75CFE" w:rsidRPr="00A75CFE" w:rsidRDefault="00A75CFE" w:rsidP="007A4FC2">
      <w:pPr>
        <w:pStyle w:val="Tekstpodstawowy22"/>
        <w:spacing w:line="276" w:lineRule="auto"/>
        <w:ind w:left="0"/>
        <w:rPr>
          <w:rFonts w:asciiTheme="minorHAnsi" w:hAnsiTheme="minorHAnsi"/>
          <w:sz w:val="22"/>
          <w:szCs w:val="22"/>
        </w:rPr>
      </w:pPr>
      <w:r w:rsidRPr="00A75CFE">
        <w:rPr>
          <w:rFonts w:asciiTheme="minorHAnsi" w:hAnsiTheme="minorHAnsi"/>
          <w:sz w:val="22"/>
          <w:szCs w:val="22"/>
        </w:rPr>
        <w:t xml:space="preserve">Gdzie odpowiednio pojęcia NDS oraz </w:t>
      </w:r>
      <w:proofErr w:type="spellStart"/>
      <w:r w:rsidRPr="00A75CFE">
        <w:rPr>
          <w:rFonts w:asciiTheme="minorHAnsi" w:hAnsiTheme="minorHAnsi"/>
          <w:sz w:val="22"/>
          <w:szCs w:val="22"/>
        </w:rPr>
        <w:t>NDSCh</w:t>
      </w:r>
      <w:proofErr w:type="spellEnd"/>
      <w:r w:rsidRPr="00A75CFE">
        <w:rPr>
          <w:rFonts w:asciiTheme="minorHAnsi" w:hAnsiTheme="minorHAnsi"/>
          <w:sz w:val="22"/>
          <w:szCs w:val="22"/>
        </w:rPr>
        <w:t xml:space="preserve"> zostały zdefiniowane jako:</w:t>
      </w:r>
    </w:p>
    <w:p w:rsidR="00A75CFE" w:rsidRPr="00A75CFE" w:rsidRDefault="00A75CFE" w:rsidP="007A4FC2">
      <w:pPr>
        <w:pStyle w:val="Tekstpodstawowy22"/>
        <w:spacing w:line="276" w:lineRule="auto"/>
        <w:ind w:left="0"/>
        <w:rPr>
          <w:rFonts w:asciiTheme="minorHAnsi" w:hAnsiTheme="minorHAnsi"/>
          <w:sz w:val="22"/>
          <w:szCs w:val="22"/>
        </w:rPr>
      </w:pPr>
      <w:r w:rsidRPr="00A75CFE">
        <w:rPr>
          <w:rFonts w:asciiTheme="minorHAnsi" w:hAnsiTheme="minorHAnsi"/>
          <w:sz w:val="22"/>
          <w:szCs w:val="22"/>
        </w:rPr>
        <w:t>NDS - najwyższe dopuszczalne stężenie - wartość średnia ważona stężenia, którego</w:t>
      </w:r>
      <w:r w:rsidR="00C11717">
        <w:rPr>
          <w:rFonts w:asciiTheme="minorHAnsi" w:hAnsiTheme="minorHAnsi"/>
          <w:sz w:val="22"/>
          <w:szCs w:val="22"/>
        </w:rPr>
        <w:t xml:space="preserve"> </w:t>
      </w:r>
      <w:r w:rsidRPr="00A75CFE">
        <w:rPr>
          <w:rFonts w:asciiTheme="minorHAnsi" w:hAnsiTheme="minorHAnsi"/>
          <w:sz w:val="22"/>
          <w:szCs w:val="22"/>
        </w:rPr>
        <w:t>oddziaływanie na pracownika w ciągu 8-godzinnego dobowego i przeciętnego tygodniowego wymiaru czasu pracy, określonego w Kodeksie pracy, przez okres jego aktywności zawodowej nie powinno spowodować ujemnych zmian w jego stanie zdrowia oraz w stanie zdrowia jego przyszłych pokoleń.</w:t>
      </w:r>
    </w:p>
    <w:p w:rsidR="00A75CFE" w:rsidRPr="00A75CFE" w:rsidRDefault="00A75CFE" w:rsidP="007A4FC2">
      <w:pPr>
        <w:pStyle w:val="Tekstpodstawowy22"/>
        <w:spacing w:line="276" w:lineRule="auto"/>
        <w:ind w:left="0"/>
        <w:rPr>
          <w:rFonts w:asciiTheme="minorHAnsi" w:hAnsiTheme="minorHAnsi"/>
          <w:sz w:val="22"/>
          <w:szCs w:val="22"/>
        </w:rPr>
      </w:pPr>
      <w:proofErr w:type="spellStart"/>
      <w:r w:rsidRPr="00A75CFE">
        <w:rPr>
          <w:rFonts w:asciiTheme="minorHAnsi" w:hAnsiTheme="minorHAnsi"/>
          <w:sz w:val="22"/>
          <w:szCs w:val="22"/>
        </w:rPr>
        <w:t>NDSCh</w:t>
      </w:r>
      <w:proofErr w:type="spellEnd"/>
      <w:r w:rsidRPr="00A75CFE">
        <w:rPr>
          <w:rFonts w:asciiTheme="minorHAnsi" w:hAnsiTheme="minorHAnsi"/>
          <w:sz w:val="22"/>
          <w:szCs w:val="22"/>
        </w:rPr>
        <w:t xml:space="preserve"> - najwyższe dopuszczalne stężenie chwilowe -</w:t>
      </w:r>
      <w:r w:rsidR="00EB1982">
        <w:rPr>
          <w:rFonts w:asciiTheme="minorHAnsi" w:hAnsiTheme="minorHAnsi"/>
          <w:sz w:val="22"/>
          <w:szCs w:val="22"/>
        </w:rPr>
        <w:t xml:space="preserve"> wartość średnia stężenia, która</w:t>
      </w:r>
      <w:r w:rsidRPr="00A75CFE">
        <w:rPr>
          <w:rFonts w:asciiTheme="minorHAnsi" w:hAnsiTheme="minorHAnsi"/>
          <w:sz w:val="22"/>
          <w:szCs w:val="22"/>
        </w:rPr>
        <w:t xml:space="preserve"> nie</w:t>
      </w:r>
      <w:r w:rsidR="00C11717">
        <w:rPr>
          <w:rFonts w:asciiTheme="minorHAnsi" w:hAnsiTheme="minorHAnsi"/>
          <w:sz w:val="22"/>
          <w:szCs w:val="22"/>
        </w:rPr>
        <w:t xml:space="preserve"> powinna</w:t>
      </w:r>
      <w:r w:rsidRPr="00A75CFE">
        <w:rPr>
          <w:rFonts w:asciiTheme="minorHAnsi" w:hAnsiTheme="minorHAnsi"/>
          <w:sz w:val="22"/>
          <w:szCs w:val="22"/>
        </w:rPr>
        <w:t xml:space="preserve"> spowodować ujemnych zmian w stanie zdrowia pracownika, jeżeli występuje w</w:t>
      </w:r>
      <w:r w:rsidR="00C11717">
        <w:rPr>
          <w:rFonts w:asciiTheme="minorHAnsi" w:hAnsiTheme="minorHAnsi"/>
          <w:sz w:val="22"/>
          <w:szCs w:val="22"/>
        </w:rPr>
        <w:t xml:space="preserve"> </w:t>
      </w:r>
      <w:r w:rsidRPr="00A75CFE">
        <w:rPr>
          <w:rFonts w:asciiTheme="minorHAnsi" w:hAnsiTheme="minorHAnsi"/>
          <w:sz w:val="22"/>
          <w:szCs w:val="22"/>
        </w:rPr>
        <w:t>środowisku pracy nie dłużej niż 15 minut i nie częściej niż 2 razy w czasie zmiany roboczej, w odstępie czasu nie krótszym niż 1 godzina.</w:t>
      </w:r>
    </w:p>
    <w:p w:rsidR="00A75CFE" w:rsidRPr="00A75CFE" w:rsidRDefault="00A75CFE" w:rsidP="007A4FC2">
      <w:pPr>
        <w:pStyle w:val="Tekstpodstawowy22"/>
        <w:spacing w:line="276" w:lineRule="auto"/>
        <w:ind w:left="0"/>
        <w:rPr>
          <w:rFonts w:asciiTheme="minorHAnsi" w:hAnsiTheme="minorHAnsi"/>
          <w:sz w:val="22"/>
          <w:szCs w:val="22"/>
        </w:rPr>
      </w:pPr>
      <w:r w:rsidRPr="00A75CFE">
        <w:rPr>
          <w:rFonts w:asciiTheme="minorHAnsi" w:hAnsiTheme="minorHAnsi"/>
          <w:sz w:val="22"/>
          <w:szCs w:val="22"/>
        </w:rPr>
        <w:tab/>
        <w:t>Zgodnie z powyższym oraz aktualn</w:t>
      </w:r>
      <w:r w:rsidR="00C25470">
        <w:rPr>
          <w:rFonts w:asciiTheme="minorHAnsi" w:hAnsiTheme="minorHAnsi"/>
          <w:sz w:val="22"/>
          <w:szCs w:val="22"/>
        </w:rPr>
        <w:t>ymi zaleceniami sanepidu</w:t>
      </w:r>
      <w:r w:rsidRPr="00A75CFE">
        <w:rPr>
          <w:rFonts w:asciiTheme="minorHAnsi" w:hAnsiTheme="minorHAnsi"/>
          <w:sz w:val="22"/>
          <w:szCs w:val="22"/>
        </w:rPr>
        <w:t xml:space="preserve"> przyjęte zostały </w:t>
      </w:r>
      <w:r w:rsidR="00C25470">
        <w:rPr>
          <w:rFonts w:asciiTheme="minorHAnsi" w:hAnsiTheme="minorHAnsi"/>
          <w:sz w:val="22"/>
          <w:szCs w:val="22"/>
        </w:rPr>
        <w:t>2 stopnie</w:t>
      </w:r>
      <w:r w:rsidR="00EB1982">
        <w:rPr>
          <w:rFonts w:asciiTheme="minorHAnsi" w:hAnsiTheme="minorHAnsi"/>
          <w:sz w:val="22"/>
          <w:szCs w:val="22"/>
        </w:rPr>
        <w:t xml:space="preserve"> detekcji</w:t>
      </w:r>
      <w:r w:rsidR="00C25470">
        <w:rPr>
          <w:rFonts w:asciiTheme="minorHAnsi" w:hAnsiTheme="minorHAnsi"/>
          <w:sz w:val="22"/>
          <w:szCs w:val="22"/>
        </w:rPr>
        <w:t xml:space="preserve">, </w:t>
      </w:r>
      <w:r w:rsidRPr="00A75CFE">
        <w:rPr>
          <w:rFonts w:asciiTheme="minorHAnsi" w:hAnsiTheme="minorHAnsi"/>
          <w:sz w:val="22"/>
          <w:szCs w:val="22"/>
        </w:rPr>
        <w:t>odpowiednio dla pierwszego poziomu 20ppm oraz 100ppm dla poziomu drugiego. W przypadku braku zagrożenia, kiedy natężenie tlenku węgla utrzymuje się poniżej 20ppm, system okresowo załącza wentylatory strumieniowe wraz z wentylatorami nawiewno-wyciągowymi, zapewniając niezbędny dopływ świeżego powietrza. Częstotliwość załączania oraz czas przez który ma funkcjonować przewietrzanie odbywa się zgodnie z zadanym harmonogramem. Przygotowanie takiego harmonogramu przewietrzania powinno uwzględni</w:t>
      </w:r>
      <w:r w:rsidR="00C25470">
        <w:rPr>
          <w:rFonts w:asciiTheme="minorHAnsi" w:hAnsiTheme="minorHAnsi"/>
          <w:sz w:val="22"/>
          <w:szCs w:val="22"/>
        </w:rPr>
        <w:t>ać</w:t>
      </w:r>
      <w:r w:rsidRPr="00A75CFE">
        <w:rPr>
          <w:rFonts w:asciiTheme="minorHAnsi" w:hAnsiTheme="minorHAnsi"/>
          <w:sz w:val="22"/>
          <w:szCs w:val="22"/>
        </w:rPr>
        <w:t xml:space="preserve"> charakterystyki danego obiektu, a więc kubatury garażu, ilości wykorzystanych wentylatorów strumieniowych, czy rozmieszczenia punktów nawiewno-wyciągowych.</w:t>
      </w:r>
    </w:p>
    <w:p w:rsidR="00A75CFE" w:rsidRPr="00A75CFE" w:rsidRDefault="00A75CFE" w:rsidP="007A4FC2">
      <w:pPr>
        <w:pStyle w:val="Tekstpodstawowy22"/>
        <w:spacing w:line="276" w:lineRule="auto"/>
        <w:ind w:left="0"/>
        <w:rPr>
          <w:rFonts w:asciiTheme="minorHAnsi" w:hAnsiTheme="minorHAnsi"/>
          <w:sz w:val="22"/>
          <w:szCs w:val="22"/>
        </w:rPr>
      </w:pPr>
      <w:r w:rsidRPr="00A75CFE">
        <w:rPr>
          <w:rFonts w:asciiTheme="minorHAnsi" w:hAnsiTheme="minorHAnsi"/>
          <w:sz w:val="22"/>
          <w:szCs w:val="22"/>
        </w:rPr>
        <w:t>Zalecenia powyższe potwierdzają zalecenie wydane w korespondencji wewnętrznej z Państwowym Powiatowym Inspektoratem Sanitarnym w Warszawie z dnia 21 maja 2008r.</w:t>
      </w:r>
    </w:p>
    <w:p w:rsidR="00A75CFE" w:rsidRPr="00A75CFE" w:rsidRDefault="00A75CFE" w:rsidP="007A4FC2">
      <w:pPr>
        <w:pStyle w:val="Tekstpodstawowy22"/>
        <w:spacing w:line="276" w:lineRule="auto"/>
        <w:ind w:left="0"/>
        <w:rPr>
          <w:rFonts w:asciiTheme="minorHAnsi" w:hAnsiTheme="minorHAnsi"/>
          <w:sz w:val="22"/>
          <w:szCs w:val="22"/>
        </w:rPr>
      </w:pPr>
      <w:r w:rsidRPr="00A75CFE">
        <w:rPr>
          <w:rFonts w:asciiTheme="minorHAnsi" w:hAnsiTheme="minorHAnsi"/>
          <w:sz w:val="22"/>
          <w:szCs w:val="22"/>
        </w:rPr>
        <w:tab/>
        <w:t xml:space="preserve">Stopień pierwszy detekcji tlenku węgla jak już wcześniej wspomniano, powoduje załączenie wentylatorów strumieniowych na pierwszym biegu wraz z wentylatorami wyciągowo-nawiewnymi. W przypadku zbyt niskiej skuteczności przewietrzania dla stopnia pierwszego, przypadek taki może mieć miejsce gdy natężenie ruchu w garażach jest naprawdę duże, w obiekcie mamy do czynienia z dalszym wzrostem natężenia tlenku węgla. W momencie osiągnięcia drugiego progu detekcji 100ppm, zostaje uruchomiony drugi stopień detekcji. W tym przypadku zostaje zwiększony wydatek wentylatorów wyciągowo-nawiewnych oraz uruchomione zostają tablice sygnalizacyjne: akustyczno-optyczne. Informują one o nadmiernym natężeniu spalin oraz konieczności opuszczenia garażu. </w:t>
      </w:r>
      <w:r w:rsidRPr="00A75CFE">
        <w:rPr>
          <w:rFonts w:asciiTheme="minorHAnsi" w:hAnsiTheme="minorHAnsi"/>
          <w:sz w:val="22"/>
          <w:szCs w:val="22"/>
        </w:rPr>
        <w:lastRenderedPageBreak/>
        <w:t>Ponieważ monitoring natężenia trującego gazu odbywa się w sposób ciągły, również w trakcie realizacji scenariusza przewietrzania, w momencie kiedy stężenie gazu spadnie poniżej odpowiednich progów, detektor automatycznie przerywa sygnał wymuszenia przewietrzania. System automatycznie przechodzi do realizacji przewietrzania zgodnie z założonym harmonogramem.</w:t>
      </w:r>
    </w:p>
    <w:p w:rsidR="00A75CFE" w:rsidRDefault="00A75CFE" w:rsidP="00A75CFE">
      <w:pPr>
        <w:pStyle w:val="Tekstpodstawowy22"/>
        <w:spacing w:line="276" w:lineRule="auto"/>
        <w:ind w:left="0"/>
        <w:rPr>
          <w:rFonts w:asciiTheme="minorHAnsi" w:hAnsiTheme="minorHAnsi"/>
          <w:sz w:val="22"/>
          <w:szCs w:val="22"/>
        </w:rPr>
      </w:pPr>
    </w:p>
    <w:p w:rsidR="00A75CFE" w:rsidRPr="00B02132" w:rsidRDefault="00A75CFE" w:rsidP="00B02132">
      <w:pPr>
        <w:rPr>
          <w:b/>
        </w:rPr>
      </w:pPr>
      <w:r w:rsidRPr="00B02132">
        <w:rPr>
          <w:b/>
        </w:rPr>
        <w:t>Mikropro</w:t>
      </w:r>
      <w:r w:rsidR="000D391B">
        <w:rPr>
          <w:b/>
        </w:rPr>
        <w:t>cesorowe dete</w:t>
      </w:r>
      <w:r w:rsidR="00292206">
        <w:rPr>
          <w:b/>
        </w:rPr>
        <w:t>ktory tlenku węgla</w:t>
      </w:r>
    </w:p>
    <w:p w:rsidR="00A75CFE" w:rsidRPr="00A75CFE" w:rsidRDefault="007A4FC2" w:rsidP="007A4FC2">
      <w:pPr>
        <w:pStyle w:val="Tekstpodstawowy22"/>
        <w:spacing w:line="276" w:lineRule="auto"/>
        <w:ind w:left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  <w:t>Detektory rozmieszcza</w:t>
      </w:r>
      <w:r w:rsidR="00A75CFE" w:rsidRPr="00A75CFE">
        <w:rPr>
          <w:rFonts w:asciiTheme="minorHAnsi" w:hAnsiTheme="minorHAnsi"/>
          <w:sz w:val="22"/>
          <w:szCs w:val="22"/>
        </w:rPr>
        <w:t xml:space="preserve"> s</w:t>
      </w:r>
      <w:r>
        <w:rPr>
          <w:rFonts w:asciiTheme="minorHAnsi" w:hAnsiTheme="minorHAnsi"/>
          <w:sz w:val="22"/>
          <w:szCs w:val="22"/>
        </w:rPr>
        <w:t>ię</w:t>
      </w:r>
      <w:r w:rsidR="00A75CFE" w:rsidRPr="00A75CFE">
        <w:rPr>
          <w:rFonts w:asciiTheme="minorHAnsi" w:hAnsiTheme="minorHAnsi"/>
          <w:sz w:val="22"/>
          <w:szCs w:val="22"/>
        </w:rPr>
        <w:t xml:space="preserve"> w sposób zapewniający właściwe pokrycie nadzorowanej przestrzeni. Zgodnie z wytycznymi producenta, zostają </w:t>
      </w:r>
      <w:r>
        <w:rPr>
          <w:rFonts w:asciiTheme="minorHAnsi" w:hAnsiTheme="minorHAnsi"/>
          <w:sz w:val="22"/>
          <w:szCs w:val="22"/>
        </w:rPr>
        <w:t xml:space="preserve">one rozmieszczone przy </w:t>
      </w:r>
      <w:r w:rsidR="00752B16">
        <w:rPr>
          <w:rFonts w:asciiTheme="minorHAnsi" w:hAnsiTheme="minorHAnsi"/>
          <w:sz w:val="22"/>
          <w:szCs w:val="22"/>
        </w:rPr>
        <w:t>założ</w:t>
      </w:r>
      <w:r>
        <w:rPr>
          <w:rFonts w:asciiTheme="minorHAnsi" w:hAnsiTheme="minorHAnsi"/>
          <w:sz w:val="22"/>
          <w:szCs w:val="22"/>
        </w:rPr>
        <w:t>eniu</w:t>
      </w:r>
      <w:r w:rsidR="00A75CFE" w:rsidRPr="00A75CFE">
        <w:rPr>
          <w:rFonts w:asciiTheme="minorHAnsi" w:hAnsiTheme="minorHAnsi"/>
          <w:sz w:val="22"/>
          <w:szCs w:val="22"/>
        </w:rPr>
        <w:t xml:space="preserve"> strefy detekcji w promieniu 8 m. Pomiar stężenia tlenku węgla jest dokonywany w sposób ciągły umożliwiający dokładne określenie konieczności włączenia systemu w określonym czasie i określonej strefie. Każde z urządzeń wyposażone jest w trzy wyjścia przekaźnikowe, które pozwalają na sygnalizację odpowiednio dwóch stopni detekcji oraz sygnału alarmu awarii informującego o konieczności wezwania serwisu technicznego. Sygnały z detektorów są przekazywane do systemu sterowania przez co system decyduje o wyborze określonej strategii wentylacji o określonym priorytecie zadziałania.</w:t>
      </w:r>
    </w:p>
    <w:p w:rsidR="00A75CFE" w:rsidRPr="00A75CFE" w:rsidRDefault="00A75CFE" w:rsidP="007A4FC2">
      <w:pPr>
        <w:pStyle w:val="Tekstpodstawowy22"/>
        <w:spacing w:line="276" w:lineRule="auto"/>
        <w:ind w:left="0"/>
        <w:rPr>
          <w:rFonts w:asciiTheme="minorHAnsi" w:hAnsiTheme="minorHAnsi"/>
          <w:sz w:val="22"/>
          <w:szCs w:val="22"/>
        </w:rPr>
      </w:pPr>
      <w:r w:rsidRPr="00A75CFE">
        <w:rPr>
          <w:rFonts w:asciiTheme="minorHAnsi" w:hAnsiTheme="minorHAnsi"/>
          <w:sz w:val="22"/>
          <w:szCs w:val="22"/>
        </w:rPr>
        <w:tab/>
        <w:t xml:space="preserve">Każdy z detektorów posiada wymienną głowicę pomiarową zapewniającą pomiar lokalny z czasem żywotności na poziomie 3 lat. Po tym czasie detektor zasygnalizuje konieczność wykonania </w:t>
      </w:r>
      <w:proofErr w:type="spellStart"/>
      <w:r w:rsidRPr="00A75CFE">
        <w:rPr>
          <w:rFonts w:asciiTheme="minorHAnsi" w:hAnsiTheme="minorHAnsi"/>
          <w:sz w:val="22"/>
          <w:szCs w:val="22"/>
        </w:rPr>
        <w:t>rekalibracji</w:t>
      </w:r>
      <w:proofErr w:type="spellEnd"/>
      <w:r w:rsidRPr="00A75CFE">
        <w:rPr>
          <w:rFonts w:asciiTheme="minorHAnsi" w:hAnsiTheme="minorHAnsi"/>
          <w:sz w:val="22"/>
          <w:szCs w:val="22"/>
        </w:rPr>
        <w:t xml:space="preserve"> głowic pomiarowych. Użytkownik ma miesiąc czasu na dokonanie </w:t>
      </w:r>
      <w:proofErr w:type="spellStart"/>
      <w:r w:rsidRPr="00A75CFE">
        <w:rPr>
          <w:rFonts w:asciiTheme="minorHAnsi" w:hAnsiTheme="minorHAnsi"/>
          <w:sz w:val="22"/>
          <w:szCs w:val="22"/>
        </w:rPr>
        <w:t>rekalibracji</w:t>
      </w:r>
      <w:proofErr w:type="spellEnd"/>
      <w:r w:rsidRPr="00A75CFE">
        <w:rPr>
          <w:rFonts w:asciiTheme="minorHAnsi" w:hAnsiTheme="minorHAnsi"/>
          <w:sz w:val="22"/>
          <w:szCs w:val="22"/>
        </w:rPr>
        <w:t xml:space="preserve"> bez sygnalizacji usterki systemu (sygnalizacja optyczna na detektorach) – po tym czasie system zostanie powiadomiony o usterce i nastąpi przekazanie alarmu technicznego do szafy sterowniczej i tam zostaje rozpoznany jako brak gotowości całego systemu wentylacji. </w:t>
      </w:r>
      <w:proofErr w:type="spellStart"/>
      <w:r w:rsidRPr="00A75CFE">
        <w:rPr>
          <w:rFonts w:asciiTheme="minorHAnsi" w:hAnsiTheme="minorHAnsi"/>
          <w:sz w:val="22"/>
          <w:szCs w:val="22"/>
        </w:rPr>
        <w:t>Rekalibracji</w:t>
      </w:r>
      <w:proofErr w:type="spellEnd"/>
      <w:r w:rsidRPr="00A75CFE">
        <w:rPr>
          <w:rFonts w:asciiTheme="minorHAnsi" w:hAnsiTheme="minorHAnsi"/>
          <w:sz w:val="22"/>
          <w:szCs w:val="22"/>
        </w:rPr>
        <w:t xml:space="preserve"> można dokonać bez konieczności demontażu całych detektorów, a tylko wymiany głowicy pomiarowej. Wymianę głowic należy dokonać przy wyłączonym zasilaniu detektorów.</w:t>
      </w:r>
    </w:p>
    <w:p w:rsidR="00A75CFE" w:rsidRPr="00A75CFE" w:rsidRDefault="00A75CFE" w:rsidP="00752B16">
      <w:pPr>
        <w:pStyle w:val="Tekstpodstawowy22"/>
        <w:spacing w:line="276" w:lineRule="auto"/>
        <w:ind w:left="0"/>
        <w:rPr>
          <w:rFonts w:asciiTheme="minorHAnsi" w:hAnsiTheme="minorHAnsi"/>
          <w:sz w:val="22"/>
          <w:szCs w:val="22"/>
        </w:rPr>
      </w:pPr>
      <w:r w:rsidRPr="00A75CFE">
        <w:rPr>
          <w:rFonts w:asciiTheme="minorHAnsi" w:hAnsiTheme="minorHAnsi"/>
          <w:sz w:val="22"/>
          <w:szCs w:val="22"/>
        </w:rPr>
        <w:t>Wartość poszczególnych progów alarmowych jest zależna od aktualnych przepisów.</w:t>
      </w:r>
    </w:p>
    <w:p w:rsidR="00A75CFE" w:rsidRPr="007A4FC2" w:rsidRDefault="00A75CFE" w:rsidP="007A4FC2">
      <w:pPr>
        <w:pStyle w:val="Nagwek2"/>
        <w:numPr>
          <w:ilvl w:val="0"/>
          <w:numId w:val="17"/>
        </w:numPr>
        <w:rPr>
          <w:rFonts w:asciiTheme="minorHAnsi" w:hAnsiTheme="minorHAnsi"/>
          <w:b w:val="0"/>
          <w:color w:val="auto"/>
          <w:sz w:val="22"/>
          <w:szCs w:val="22"/>
        </w:rPr>
      </w:pPr>
      <w:bookmarkStart w:id="0" w:name="_Toc335045206"/>
      <w:r w:rsidRPr="007A4FC2">
        <w:rPr>
          <w:rFonts w:asciiTheme="minorHAnsi" w:hAnsiTheme="minorHAnsi"/>
          <w:b w:val="0"/>
          <w:color w:val="auto"/>
          <w:sz w:val="22"/>
          <w:szCs w:val="22"/>
        </w:rPr>
        <w:t>Lokalne tablice ostrzegawcze</w:t>
      </w:r>
      <w:bookmarkEnd w:id="0"/>
    </w:p>
    <w:p w:rsidR="00A75CFE" w:rsidRPr="00A75CFE" w:rsidRDefault="00A75CFE" w:rsidP="007A4FC2">
      <w:pPr>
        <w:pStyle w:val="Tekstpodstawowy22"/>
        <w:spacing w:line="276" w:lineRule="auto"/>
        <w:ind w:left="0"/>
        <w:rPr>
          <w:rFonts w:asciiTheme="minorHAnsi" w:hAnsiTheme="minorHAnsi"/>
          <w:sz w:val="22"/>
          <w:szCs w:val="22"/>
        </w:rPr>
      </w:pPr>
      <w:r w:rsidRPr="00A75CFE">
        <w:rPr>
          <w:rFonts w:asciiTheme="minorHAnsi" w:hAnsiTheme="minorHAnsi"/>
          <w:sz w:val="22"/>
          <w:szCs w:val="22"/>
        </w:rPr>
        <w:tab/>
        <w:t>Tablice ostrzegawcze wykonane są w postaci kasetonów świetlno-akustycznych sygnalizujących konieczność opuszczenia garażu, bądź zakaz wjazdu do pomieszczeń. Kolor napisu ostrzegawczego dobrany został według wskazań normy dotyczącej barwy sygnałów świetlnych jako kolor czerwony – migający. Podczas normalnej pracy napisy ostrzegawcze są niewidoczne.</w:t>
      </w:r>
    </w:p>
    <w:p w:rsidR="00A75CFE" w:rsidRPr="00752B16" w:rsidRDefault="00A75CFE" w:rsidP="00752B16">
      <w:pPr>
        <w:pStyle w:val="Tekstpodstawowy22"/>
        <w:spacing w:line="276" w:lineRule="auto"/>
        <w:ind w:left="0"/>
        <w:rPr>
          <w:rFonts w:asciiTheme="minorHAnsi" w:hAnsiTheme="minorHAnsi"/>
          <w:sz w:val="22"/>
          <w:szCs w:val="22"/>
        </w:rPr>
      </w:pPr>
      <w:r w:rsidRPr="00A75CFE">
        <w:rPr>
          <w:rFonts w:asciiTheme="minorHAnsi" w:hAnsiTheme="minorHAnsi"/>
          <w:sz w:val="22"/>
          <w:szCs w:val="22"/>
        </w:rPr>
        <w:t>Rozmieszczenie tablic dokonywane jest według posiadanych rzutów architektonicznych budynku. Jako zasadę przyjmuje się rozmieszczenie tablic ostrzegawczych dwustronnych w ciągach komunikacyjnych umożliwiających szybką lokalizację napisu świetlnego i wyświetlanego komunikatu alarmowego.  Załączenie tablic sygnalizacyjnych dokonywane jest po przekroczeniu drugiego stopnia detekcji przez czujnik.</w:t>
      </w:r>
    </w:p>
    <w:p w:rsidR="000A1802" w:rsidRPr="00752B16" w:rsidRDefault="000A1802">
      <w:pPr>
        <w:pStyle w:val="Tekstpodstawowy22"/>
        <w:spacing w:line="276" w:lineRule="auto"/>
        <w:ind w:left="0"/>
        <w:rPr>
          <w:rFonts w:asciiTheme="minorHAnsi" w:hAnsiTheme="minorHAnsi"/>
          <w:sz w:val="22"/>
          <w:szCs w:val="22"/>
        </w:rPr>
      </w:pPr>
    </w:p>
    <w:sectPr w:rsidR="000A1802" w:rsidRPr="00752B16" w:rsidSect="00463B91">
      <w:headerReference w:type="default" r:id="rId8"/>
      <w:footerReference w:type="default" r:id="rId9"/>
      <w:type w:val="continuous"/>
      <w:pgSz w:w="11906" w:h="16838"/>
      <w:pgMar w:top="1417" w:right="1417" w:bottom="1417" w:left="1417" w:header="567" w:footer="567" w:gutter="0"/>
      <w:cols w:space="14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6E0F" w:rsidRDefault="00DB6E0F" w:rsidP="007143EA">
      <w:pPr>
        <w:spacing w:after="0" w:line="240" w:lineRule="auto"/>
      </w:pPr>
      <w:r>
        <w:separator/>
      </w:r>
    </w:p>
  </w:endnote>
  <w:endnote w:type="continuationSeparator" w:id="0">
    <w:p w:rsidR="00DB6E0F" w:rsidRDefault="00DB6E0F" w:rsidP="007143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923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/>
    </w:tblPr>
    <w:tblGrid>
      <w:gridCol w:w="709"/>
      <w:gridCol w:w="1800"/>
      <w:gridCol w:w="900"/>
      <w:gridCol w:w="900"/>
      <w:gridCol w:w="2700"/>
      <w:gridCol w:w="1080"/>
      <w:gridCol w:w="1834"/>
    </w:tblGrid>
    <w:tr w:rsidR="004E5E3F" w:rsidRPr="008A2FAE" w:rsidTr="00752B16">
      <w:trPr>
        <w:trHeight w:hRule="exact" w:val="425"/>
      </w:trPr>
      <w:tc>
        <w:tcPr>
          <w:tcW w:w="2509" w:type="dxa"/>
          <w:gridSpan w:val="2"/>
          <w:tcBorders>
            <w:bottom w:val="single" w:sz="4" w:space="0" w:color="auto"/>
          </w:tcBorders>
          <w:vAlign w:val="center"/>
        </w:tcPr>
        <w:p w:rsidR="004E5E3F" w:rsidRPr="00944916" w:rsidRDefault="00351D08" w:rsidP="004F5BF8">
          <w:pPr>
            <w:pStyle w:val="Stopka"/>
            <w:rPr>
              <w:rFonts w:ascii="Arial" w:hAnsi="Arial" w:cs="Arial"/>
              <w:sz w:val="16"/>
              <w:szCs w:val="16"/>
            </w:rPr>
          </w:pPr>
          <w:r w:rsidRPr="00351D08">
            <w:rPr>
              <w:rFonts w:ascii="Arial" w:hAnsi="Arial" w:cs="Arial"/>
              <w:b/>
              <w:noProof/>
              <w:sz w:val="18"/>
              <w:szCs w:val="18"/>
            </w:rPr>
            <w:pict>
              <v:rect id="Rectangle 4" o:spid="_x0000_s4097" style="position:absolute;margin-left:0;margin-top:0;width:25.65pt;height:36.85pt;rotation:90;z-index:251663360;visibility:visible;mso-position-horizontal:center;mso-position-horizontal-relative:right-margin-area;mso-position-vertical:bottom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" o:allowincell="f" filled="f" stroked="f">
                <v:textbox style="mso-next-textbox:#Rectangle 4">
                  <w:txbxContent>
                    <w:p w:rsidR="004E5E3F" w:rsidRPr="0088600C" w:rsidRDefault="00351D08" w:rsidP="0088600C">
                      <w:pPr>
                        <w:pStyle w:val="Stopka"/>
                        <w:rPr>
                          <w:sz w:val="44"/>
                          <w:szCs w:val="44"/>
                        </w:rPr>
                      </w:pPr>
                      <w:r w:rsidRPr="0088600C">
                        <w:rPr>
                          <w:b/>
                          <w:sz w:val="18"/>
                          <w:szCs w:val="18"/>
                        </w:rPr>
                        <w:fldChar w:fldCharType="begin"/>
                      </w:r>
                      <w:r w:rsidR="004E5E3F" w:rsidRPr="0088600C">
                        <w:rPr>
                          <w:b/>
                          <w:sz w:val="18"/>
                          <w:szCs w:val="18"/>
                        </w:rPr>
                        <w:instrText xml:space="preserve"> PAGE    \* MERGEFORMAT </w:instrText>
                      </w:r>
                      <w:r w:rsidRPr="0088600C">
                        <w:rPr>
                          <w:b/>
                          <w:sz w:val="18"/>
                          <w:szCs w:val="18"/>
                        </w:rPr>
                        <w:fldChar w:fldCharType="separate"/>
                      </w:r>
                      <w:r w:rsidR="00241BBD">
                        <w:rPr>
                          <w:b/>
                          <w:noProof/>
                          <w:sz w:val="18"/>
                          <w:szCs w:val="18"/>
                        </w:rPr>
                        <w:t>1</w:t>
                      </w:r>
                      <w:r w:rsidRPr="0088600C">
                        <w:rPr>
                          <w:b/>
                          <w:sz w:val="18"/>
                          <w:szCs w:val="18"/>
                        </w:rPr>
                        <w:fldChar w:fldCharType="end"/>
                      </w:r>
                      <w:r w:rsidR="00440401">
                        <w:rPr>
                          <w:b/>
                          <w:sz w:val="18"/>
                          <w:szCs w:val="18"/>
                        </w:rPr>
                        <w:t>/3</w:t>
                      </w:r>
                    </w:p>
                  </w:txbxContent>
                </v:textbox>
                <w10:wrap anchorx="margin" anchory="margin"/>
              </v:rect>
            </w:pict>
          </w:r>
          <w:r w:rsidR="006E357F">
            <w:rPr>
              <w:rFonts w:ascii="Arial" w:hAnsi="Arial" w:cs="Arial"/>
              <w:sz w:val="16"/>
              <w:szCs w:val="16"/>
            </w:rPr>
            <w:t xml:space="preserve">Poznań, </w:t>
          </w:r>
          <w:r w:rsidR="000A1802">
            <w:rPr>
              <w:rFonts w:ascii="Arial" w:hAnsi="Arial" w:cs="Arial"/>
              <w:sz w:val="16"/>
              <w:szCs w:val="16"/>
            </w:rPr>
            <w:t>Towarowa 55</w:t>
          </w:r>
        </w:p>
      </w:tc>
      <w:tc>
        <w:tcPr>
          <w:tcW w:w="900" w:type="dxa"/>
          <w:tcBorders>
            <w:right w:val="nil"/>
          </w:tcBorders>
          <w:vAlign w:val="center"/>
        </w:tcPr>
        <w:p w:rsidR="004E5E3F" w:rsidRPr="00944916" w:rsidRDefault="004E5E3F" w:rsidP="00752B16">
          <w:pPr>
            <w:pStyle w:val="Stopka"/>
            <w:rPr>
              <w:rFonts w:ascii="Arial" w:hAnsi="Arial" w:cs="Arial"/>
              <w:sz w:val="10"/>
              <w:szCs w:val="10"/>
            </w:rPr>
          </w:pPr>
          <w:r>
            <w:rPr>
              <w:rFonts w:ascii="Arial" w:hAnsi="Arial" w:cs="Arial"/>
              <w:sz w:val="10"/>
              <w:szCs w:val="10"/>
            </w:rPr>
            <w:t>Nazwa projektu</w:t>
          </w:r>
        </w:p>
      </w:tc>
      <w:tc>
        <w:tcPr>
          <w:tcW w:w="6514" w:type="dxa"/>
          <w:gridSpan w:val="4"/>
          <w:tcBorders>
            <w:left w:val="nil"/>
          </w:tcBorders>
          <w:vAlign w:val="center"/>
        </w:tcPr>
        <w:p w:rsidR="004E5E3F" w:rsidRPr="00BD1A3E" w:rsidRDefault="004E5E3F" w:rsidP="00752B16">
          <w:pPr>
            <w:pStyle w:val="Stopka"/>
            <w:ind w:right="284"/>
            <w:jc w:val="right"/>
            <w:rPr>
              <w:rFonts w:ascii="Arial" w:hAnsi="Arial" w:cs="Arial"/>
              <w:color w:val="0000FF"/>
              <w:sz w:val="16"/>
              <w:szCs w:val="16"/>
            </w:rPr>
          </w:pPr>
          <w:r>
            <w:rPr>
              <w:rFonts w:ascii="Arial" w:hAnsi="Arial" w:cs="Arial"/>
              <w:color w:val="0000FF"/>
              <w:sz w:val="16"/>
              <w:szCs w:val="16"/>
            </w:rPr>
            <w:t>Automatyka instalacji wentylacji bytowej i oddymiającej garażu</w:t>
          </w:r>
        </w:p>
      </w:tc>
    </w:tr>
    <w:tr w:rsidR="004E5E3F" w:rsidRPr="007C50F9" w:rsidTr="00752B16">
      <w:trPr>
        <w:trHeight w:hRule="exact" w:val="425"/>
      </w:trPr>
      <w:tc>
        <w:tcPr>
          <w:tcW w:w="709" w:type="dxa"/>
          <w:tcBorders>
            <w:right w:val="nil"/>
          </w:tcBorders>
          <w:vAlign w:val="center"/>
        </w:tcPr>
        <w:p w:rsidR="004E5E3F" w:rsidRPr="007C50F9" w:rsidRDefault="004E5E3F" w:rsidP="00752B16">
          <w:pPr>
            <w:pStyle w:val="Stopka"/>
            <w:rPr>
              <w:rFonts w:ascii="Arial" w:hAnsi="Arial" w:cs="Arial"/>
              <w:sz w:val="10"/>
              <w:szCs w:val="10"/>
              <w:lang w:val="en-US"/>
            </w:rPr>
          </w:pPr>
          <w:r>
            <w:rPr>
              <w:rFonts w:ascii="Arial" w:hAnsi="Arial" w:cs="Arial"/>
              <w:sz w:val="10"/>
              <w:szCs w:val="10"/>
              <w:lang w:val="en-US"/>
            </w:rPr>
            <w:t xml:space="preserve">Nr </w:t>
          </w:r>
          <w:proofErr w:type="spellStart"/>
          <w:r>
            <w:rPr>
              <w:rFonts w:ascii="Arial" w:hAnsi="Arial" w:cs="Arial"/>
              <w:sz w:val="10"/>
              <w:szCs w:val="10"/>
              <w:lang w:val="en-US"/>
            </w:rPr>
            <w:t>projektu</w:t>
          </w:r>
          <w:proofErr w:type="spellEnd"/>
          <w:r>
            <w:rPr>
              <w:rFonts w:ascii="Arial" w:hAnsi="Arial" w:cs="Arial"/>
              <w:sz w:val="10"/>
              <w:szCs w:val="10"/>
              <w:lang w:val="en-US"/>
            </w:rPr>
            <w:t>:</w:t>
          </w:r>
        </w:p>
      </w:tc>
      <w:tc>
        <w:tcPr>
          <w:tcW w:w="1800" w:type="dxa"/>
          <w:tcBorders>
            <w:left w:val="nil"/>
          </w:tcBorders>
          <w:vAlign w:val="center"/>
        </w:tcPr>
        <w:p w:rsidR="004E5E3F" w:rsidRPr="007C50F9" w:rsidRDefault="000A1802" w:rsidP="004F5BF8">
          <w:pPr>
            <w:pStyle w:val="Stopka"/>
            <w:jc w:val="center"/>
            <w:rPr>
              <w:rFonts w:ascii="Arial" w:hAnsi="Arial" w:cs="Arial"/>
              <w:sz w:val="16"/>
              <w:szCs w:val="16"/>
              <w:lang w:val="en-US"/>
            </w:rPr>
          </w:pPr>
          <w:r>
            <w:rPr>
              <w:rFonts w:ascii="Arial" w:hAnsi="Arial" w:cs="Arial"/>
              <w:sz w:val="16"/>
              <w:szCs w:val="16"/>
              <w:lang w:val="en-US"/>
            </w:rPr>
            <w:t>469</w:t>
          </w:r>
          <w:r w:rsidR="00440401">
            <w:rPr>
              <w:rFonts w:ascii="Arial" w:hAnsi="Arial" w:cs="Arial"/>
              <w:sz w:val="16"/>
              <w:szCs w:val="16"/>
              <w:lang w:val="en-US"/>
            </w:rPr>
            <w:t>/</w:t>
          </w:r>
          <w:proofErr w:type="spellStart"/>
          <w:r w:rsidR="00440401">
            <w:rPr>
              <w:rFonts w:ascii="Arial" w:hAnsi="Arial" w:cs="Arial"/>
              <w:sz w:val="16"/>
              <w:szCs w:val="16"/>
              <w:lang w:val="en-US"/>
            </w:rPr>
            <w:t>Wr</w:t>
          </w:r>
          <w:proofErr w:type="spellEnd"/>
          <w:r w:rsidR="00440401">
            <w:rPr>
              <w:rFonts w:ascii="Arial" w:hAnsi="Arial" w:cs="Arial"/>
              <w:sz w:val="16"/>
              <w:szCs w:val="16"/>
              <w:lang w:val="en-US"/>
            </w:rPr>
            <w:t>/201</w:t>
          </w:r>
          <w:r w:rsidR="004F5BF8">
            <w:rPr>
              <w:rFonts w:ascii="Arial" w:hAnsi="Arial" w:cs="Arial"/>
              <w:sz w:val="16"/>
              <w:szCs w:val="16"/>
              <w:lang w:val="en-US"/>
            </w:rPr>
            <w:t>3</w:t>
          </w:r>
        </w:p>
      </w:tc>
      <w:tc>
        <w:tcPr>
          <w:tcW w:w="900" w:type="dxa"/>
          <w:tcBorders>
            <w:right w:val="nil"/>
          </w:tcBorders>
          <w:vAlign w:val="center"/>
        </w:tcPr>
        <w:p w:rsidR="004E5E3F" w:rsidRPr="007C50F9" w:rsidRDefault="004E5E3F" w:rsidP="00752B16">
          <w:pPr>
            <w:pStyle w:val="Stopka"/>
            <w:rPr>
              <w:rFonts w:ascii="Arial" w:hAnsi="Arial" w:cs="Arial"/>
              <w:i/>
              <w:sz w:val="10"/>
              <w:szCs w:val="10"/>
            </w:rPr>
          </w:pPr>
          <w:r>
            <w:rPr>
              <w:rFonts w:ascii="Arial" w:hAnsi="Arial" w:cs="Arial"/>
              <w:sz w:val="10"/>
              <w:szCs w:val="10"/>
            </w:rPr>
            <w:t>Data :</w:t>
          </w:r>
          <w:r w:rsidRPr="007C50F9">
            <w:rPr>
              <w:rFonts w:ascii="Arial" w:hAnsi="Arial" w:cs="Arial"/>
              <w:i/>
              <w:sz w:val="10"/>
              <w:szCs w:val="10"/>
            </w:rPr>
            <w:t>.</w:t>
          </w:r>
        </w:p>
      </w:tc>
      <w:tc>
        <w:tcPr>
          <w:tcW w:w="900" w:type="dxa"/>
          <w:tcBorders>
            <w:left w:val="nil"/>
          </w:tcBorders>
          <w:vAlign w:val="center"/>
        </w:tcPr>
        <w:p w:rsidR="004E5E3F" w:rsidRPr="007C50F9" w:rsidRDefault="006E357F" w:rsidP="004F5BF8">
          <w:pPr>
            <w:pStyle w:val="Stopka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0</w:t>
          </w:r>
          <w:r w:rsidR="00ED08BA">
            <w:rPr>
              <w:rFonts w:ascii="Arial" w:hAnsi="Arial" w:cs="Arial"/>
              <w:sz w:val="16"/>
              <w:szCs w:val="16"/>
            </w:rPr>
            <w:t>4</w:t>
          </w:r>
          <w:r w:rsidR="00506713">
            <w:rPr>
              <w:rFonts w:ascii="Arial" w:hAnsi="Arial" w:cs="Arial"/>
              <w:sz w:val="16"/>
              <w:szCs w:val="16"/>
            </w:rPr>
            <w:t>/201</w:t>
          </w:r>
          <w:r w:rsidR="00ED08BA">
            <w:rPr>
              <w:rFonts w:ascii="Arial" w:hAnsi="Arial" w:cs="Arial"/>
              <w:sz w:val="16"/>
              <w:szCs w:val="16"/>
            </w:rPr>
            <w:t>4</w:t>
          </w:r>
        </w:p>
      </w:tc>
      <w:tc>
        <w:tcPr>
          <w:tcW w:w="2700" w:type="dxa"/>
          <w:tcBorders>
            <w:left w:val="nil"/>
          </w:tcBorders>
          <w:vAlign w:val="center"/>
        </w:tcPr>
        <w:p w:rsidR="004E5E3F" w:rsidRPr="007C50F9" w:rsidRDefault="004E5E3F" w:rsidP="00752B16">
          <w:pPr>
            <w:pStyle w:val="Stopka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Rozdział 1</w:t>
          </w:r>
        </w:p>
      </w:tc>
      <w:tc>
        <w:tcPr>
          <w:tcW w:w="1080" w:type="dxa"/>
          <w:tcBorders>
            <w:right w:val="nil"/>
          </w:tcBorders>
          <w:vAlign w:val="center"/>
        </w:tcPr>
        <w:p w:rsidR="004E5E3F" w:rsidRPr="007C50F9" w:rsidRDefault="004E5E3F" w:rsidP="00752B16">
          <w:pPr>
            <w:pStyle w:val="Stopka"/>
            <w:jc w:val="center"/>
            <w:rPr>
              <w:rFonts w:ascii="Arial" w:hAnsi="Arial" w:cs="Arial"/>
              <w:sz w:val="12"/>
              <w:szCs w:val="12"/>
            </w:rPr>
          </w:pPr>
          <w:r w:rsidRPr="007C50F9">
            <w:rPr>
              <w:rFonts w:ascii="Arial" w:hAnsi="Arial" w:cs="Arial"/>
              <w:sz w:val="12"/>
              <w:szCs w:val="12"/>
            </w:rPr>
            <w:t>Tom</w:t>
          </w:r>
        </w:p>
      </w:tc>
      <w:tc>
        <w:tcPr>
          <w:tcW w:w="1834" w:type="dxa"/>
          <w:tcBorders>
            <w:left w:val="nil"/>
          </w:tcBorders>
          <w:vAlign w:val="center"/>
        </w:tcPr>
        <w:p w:rsidR="004E5E3F" w:rsidRPr="007C50F9" w:rsidRDefault="006E357F" w:rsidP="00752B16">
          <w:pPr>
            <w:pStyle w:val="Stopka"/>
            <w:tabs>
              <w:tab w:val="left" w:pos="368"/>
            </w:tabs>
            <w:ind w:right="284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1</w:t>
          </w:r>
        </w:p>
      </w:tc>
    </w:tr>
  </w:tbl>
  <w:p w:rsidR="004E5E3F" w:rsidRDefault="004E5E3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6E0F" w:rsidRDefault="00DB6E0F" w:rsidP="007143EA">
      <w:pPr>
        <w:spacing w:after="0" w:line="240" w:lineRule="auto"/>
      </w:pPr>
      <w:r>
        <w:separator/>
      </w:r>
    </w:p>
  </w:footnote>
  <w:footnote w:type="continuationSeparator" w:id="0">
    <w:p w:rsidR="00DB6E0F" w:rsidRDefault="00DB6E0F" w:rsidP="007143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5E3F" w:rsidRPr="00C8079E" w:rsidRDefault="004E5E3F" w:rsidP="007143EA">
    <w:pPr>
      <w:pStyle w:val="Nagwek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noProof/>
        <w:sz w:val="18"/>
        <w:szCs w:val="18"/>
      </w:rPr>
      <w:drawing>
        <wp:anchor distT="0" distB="0" distL="114935" distR="114935" simplePos="0" relativeHeight="251660288" behindDoc="1" locked="0" layoutInCell="1" allowOverlap="1">
          <wp:simplePos x="0" y="0"/>
          <wp:positionH relativeFrom="column">
            <wp:posOffset>-205740</wp:posOffset>
          </wp:positionH>
          <wp:positionV relativeFrom="paragraph">
            <wp:posOffset>-135890</wp:posOffset>
          </wp:positionV>
          <wp:extent cx="1518920" cy="628015"/>
          <wp:effectExtent l="19050" t="0" r="5080" b="0"/>
          <wp:wrapNone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8920" cy="62801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b/>
        <w:sz w:val="18"/>
        <w:szCs w:val="18"/>
      </w:rPr>
      <w:t xml:space="preserve"> </w:t>
    </w:r>
    <w:r w:rsidRPr="00C8079E">
      <w:rPr>
        <w:rFonts w:ascii="Arial" w:hAnsi="Arial" w:cs="Arial"/>
        <w:b/>
        <w:sz w:val="18"/>
        <w:szCs w:val="18"/>
      </w:rPr>
      <w:t xml:space="preserve">                                                                        </w:t>
    </w:r>
    <w:r w:rsidR="00241BBD">
      <w:rPr>
        <w:noProof/>
      </w:rPr>
      <w:drawing>
        <wp:inline distT="0" distB="0" distL="0" distR="0">
          <wp:extent cx="1979930" cy="492760"/>
          <wp:effectExtent l="19050" t="0" r="1270" b="0"/>
          <wp:docPr id="7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9930" cy="492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tbl>
    <w:tblPr>
      <w:tblW w:w="0" w:type="auto"/>
      <w:tblInd w:w="687" w:type="dxa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/>
    </w:tblPr>
    <w:tblGrid>
      <w:gridCol w:w="1980"/>
      <w:gridCol w:w="1523"/>
      <w:gridCol w:w="461"/>
      <w:gridCol w:w="1462"/>
      <w:gridCol w:w="518"/>
      <w:gridCol w:w="1270"/>
    </w:tblGrid>
    <w:tr w:rsidR="004E5E3F" w:rsidRPr="003F30B3" w:rsidTr="007143EA">
      <w:trPr>
        <w:trHeight w:hRule="exact" w:val="227"/>
      </w:trPr>
      <w:tc>
        <w:tcPr>
          <w:tcW w:w="1980" w:type="dxa"/>
        </w:tcPr>
        <w:p w:rsidR="004E5E3F" w:rsidRPr="00772E03" w:rsidRDefault="004E5E3F" w:rsidP="00916EBD">
          <w:pPr>
            <w:snapToGrid w:val="0"/>
            <w:spacing w:before="60"/>
            <w:rPr>
              <w:rFonts w:ascii="Calibri" w:hAnsi="Calibri" w:cs="Arial"/>
              <w:sz w:val="12"/>
              <w:szCs w:val="12"/>
            </w:rPr>
          </w:pPr>
          <w:proofErr w:type="spellStart"/>
          <w:r w:rsidRPr="00772E03">
            <w:rPr>
              <w:rFonts w:ascii="Calibri" w:hAnsi="Calibri" w:cs="Arial"/>
              <w:sz w:val="12"/>
              <w:szCs w:val="12"/>
            </w:rPr>
            <w:t>Ul.</w:t>
          </w:r>
          <w:r w:rsidR="00916EBD">
            <w:rPr>
              <w:rFonts w:ascii="Calibri" w:hAnsi="Calibri" w:cs="Arial"/>
              <w:sz w:val="12"/>
              <w:szCs w:val="12"/>
            </w:rPr>
            <w:t>Notecka</w:t>
          </w:r>
          <w:proofErr w:type="spellEnd"/>
          <w:r w:rsidR="00916EBD">
            <w:rPr>
              <w:rFonts w:ascii="Calibri" w:hAnsi="Calibri" w:cs="Arial"/>
              <w:sz w:val="12"/>
              <w:szCs w:val="12"/>
            </w:rPr>
            <w:t xml:space="preserve"> 12</w:t>
          </w:r>
        </w:p>
      </w:tc>
      <w:tc>
        <w:tcPr>
          <w:tcW w:w="1523" w:type="dxa"/>
        </w:tcPr>
        <w:p w:rsidR="004E5E3F" w:rsidRPr="00772E03" w:rsidRDefault="00916EBD" w:rsidP="00752B16">
          <w:pPr>
            <w:snapToGrid w:val="0"/>
            <w:spacing w:before="60"/>
            <w:rPr>
              <w:rFonts w:ascii="Calibri" w:hAnsi="Calibri" w:cs="Arial"/>
              <w:sz w:val="12"/>
              <w:szCs w:val="12"/>
            </w:rPr>
          </w:pPr>
          <w:r>
            <w:rPr>
              <w:rFonts w:ascii="Calibri" w:hAnsi="Calibri" w:cs="Arial"/>
              <w:sz w:val="12"/>
              <w:szCs w:val="12"/>
            </w:rPr>
            <w:t>54-128</w:t>
          </w:r>
          <w:r w:rsidR="004E5E3F" w:rsidRPr="00772E03">
            <w:rPr>
              <w:rFonts w:ascii="Calibri" w:hAnsi="Calibri" w:cs="Arial"/>
              <w:sz w:val="12"/>
              <w:szCs w:val="12"/>
            </w:rPr>
            <w:t xml:space="preserve"> Wrocław</w:t>
          </w:r>
        </w:p>
      </w:tc>
      <w:tc>
        <w:tcPr>
          <w:tcW w:w="461" w:type="dxa"/>
        </w:tcPr>
        <w:p w:rsidR="004E5E3F" w:rsidRPr="00772E03" w:rsidRDefault="004E5E3F" w:rsidP="00752B16">
          <w:pPr>
            <w:snapToGrid w:val="0"/>
            <w:spacing w:before="60"/>
            <w:rPr>
              <w:rFonts w:ascii="Calibri" w:hAnsi="Calibri" w:cs="Arial"/>
              <w:sz w:val="12"/>
              <w:szCs w:val="12"/>
            </w:rPr>
          </w:pPr>
          <w:r w:rsidRPr="00772E03">
            <w:rPr>
              <w:rFonts w:ascii="Calibri" w:hAnsi="Calibri" w:cs="Arial"/>
              <w:sz w:val="12"/>
              <w:szCs w:val="12"/>
            </w:rPr>
            <w:t>Tel:</w:t>
          </w:r>
        </w:p>
      </w:tc>
      <w:tc>
        <w:tcPr>
          <w:tcW w:w="1462" w:type="dxa"/>
        </w:tcPr>
        <w:p w:rsidR="004E5E3F" w:rsidRPr="00772E03" w:rsidRDefault="004E5E3F" w:rsidP="00752B16">
          <w:pPr>
            <w:snapToGrid w:val="0"/>
            <w:spacing w:before="60"/>
            <w:rPr>
              <w:rFonts w:ascii="Calibri" w:hAnsi="Calibri" w:cs="Arial"/>
              <w:sz w:val="12"/>
              <w:szCs w:val="12"/>
            </w:rPr>
          </w:pPr>
          <w:r w:rsidRPr="00772E03">
            <w:rPr>
              <w:rFonts w:ascii="Calibri" w:hAnsi="Calibri" w:cs="Arial"/>
              <w:sz w:val="12"/>
              <w:szCs w:val="12"/>
            </w:rPr>
            <w:t xml:space="preserve">+48 71 </w:t>
          </w:r>
          <w:r w:rsidRPr="00772E03">
            <w:rPr>
              <w:rFonts w:ascii="Calibri" w:hAnsi="Calibri" w:cs="Courier New"/>
              <w:sz w:val="12"/>
              <w:szCs w:val="12"/>
            </w:rPr>
            <w:t>7156272</w:t>
          </w:r>
        </w:p>
      </w:tc>
      <w:tc>
        <w:tcPr>
          <w:tcW w:w="518" w:type="dxa"/>
        </w:tcPr>
        <w:p w:rsidR="004E5E3F" w:rsidRPr="00772E03" w:rsidRDefault="004E5E3F" w:rsidP="00752B16">
          <w:pPr>
            <w:snapToGrid w:val="0"/>
            <w:spacing w:before="60"/>
            <w:rPr>
              <w:rFonts w:ascii="Calibri" w:hAnsi="Calibri" w:cs="Arial"/>
              <w:sz w:val="12"/>
              <w:szCs w:val="12"/>
            </w:rPr>
          </w:pPr>
          <w:proofErr w:type="spellStart"/>
          <w:r w:rsidRPr="00772E03">
            <w:rPr>
              <w:rFonts w:ascii="Calibri" w:hAnsi="Calibri" w:cs="Arial"/>
              <w:sz w:val="12"/>
              <w:szCs w:val="12"/>
            </w:rPr>
            <w:t>Fax</w:t>
          </w:r>
          <w:proofErr w:type="spellEnd"/>
          <w:r w:rsidRPr="00772E03">
            <w:rPr>
              <w:rFonts w:ascii="Calibri" w:hAnsi="Calibri" w:cs="Arial"/>
              <w:sz w:val="12"/>
              <w:szCs w:val="12"/>
            </w:rPr>
            <w:t>:</w:t>
          </w:r>
        </w:p>
      </w:tc>
      <w:tc>
        <w:tcPr>
          <w:tcW w:w="1270" w:type="dxa"/>
        </w:tcPr>
        <w:p w:rsidR="004E5E3F" w:rsidRPr="00772E03" w:rsidRDefault="004E5E3F" w:rsidP="00752B16">
          <w:pPr>
            <w:snapToGrid w:val="0"/>
            <w:spacing w:before="60"/>
            <w:rPr>
              <w:rFonts w:ascii="Calibri" w:hAnsi="Calibri" w:cs="Arial"/>
              <w:sz w:val="12"/>
              <w:szCs w:val="12"/>
            </w:rPr>
          </w:pPr>
          <w:r w:rsidRPr="00772E03">
            <w:rPr>
              <w:rFonts w:ascii="Calibri" w:hAnsi="Calibri" w:cs="Arial"/>
              <w:sz w:val="12"/>
              <w:szCs w:val="12"/>
            </w:rPr>
            <w:t xml:space="preserve">+48 71 </w:t>
          </w:r>
          <w:r w:rsidRPr="00772E03">
            <w:rPr>
              <w:rFonts w:ascii="Calibri" w:hAnsi="Calibri" w:cs="Courier New"/>
              <w:sz w:val="12"/>
              <w:szCs w:val="12"/>
            </w:rPr>
            <w:t>7156273</w:t>
          </w:r>
        </w:p>
      </w:tc>
    </w:tr>
    <w:tr w:rsidR="004E5E3F" w:rsidRPr="003F30B3" w:rsidTr="007143EA">
      <w:trPr>
        <w:trHeight w:hRule="exact" w:val="227"/>
      </w:trPr>
      <w:tc>
        <w:tcPr>
          <w:tcW w:w="1980" w:type="dxa"/>
        </w:tcPr>
        <w:p w:rsidR="004E5E3F" w:rsidRPr="00772E03" w:rsidRDefault="004E5E3F" w:rsidP="00752B16">
          <w:pPr>
            <w:snapToGrid w:val="0"/>
            <w:spacing w:before="60"/>
            <w:rPr>
              <w:rFonts w:ascii="Calibri" w:hAnsi="Calibri" w:cs="Arial"/>
              <w:sz w:val="12"/>
              <w:szCs w:val="12"/>
            </w:rPr>
          </w:pPr>
          <w:proofErr w:type="spellStart"/>
          <w:r w:rsidRPr="00772E03">
            <w:rPr>
              <w:rFonts w:ascii="Calibri" w:hAnsi="Calibri" w:cs="Arial"/>
              <w:sz w:val="12"/>
              <w:szCs w:val="12"/>
            </w:rPr>
            <w:t>Ul.Instalatorów</w:t>
          </w:r>
          <w:proofErr w:type="spellEnd"/>
          <w:r w:rsidRPr="00772E03">
            <w:rPr>
              <w:rFonts w:ascii="Calibri" w:hAnsi="Calibri" w:cs="Arial"/>
              <w:sz w:val="12"/>
              <w:szCs w:val="12"/>
            </w:rPr>
            <w:t xml:space="preserve"> 7</w:t>
          </w:r>
        </w:p>
      </w:tc>
      <w:tc>
        <w:tcPr>
          <w:tcW w:w="1523" w:type="dxa"/>
        </w:tcPr>
        <w:p w:rsidR="004E5E3F" w:rsidRPr="00772E03" w:rsidRDefault="004E5E3F" w:rsidP="00752B16">
          <w:pPr>
            <w:snapToGrid w:val="0"/>
            <w:spacing w:before="60"/>
            <w:rPr>
              <w:rFonts w:ascii="Calibri" w:hAnsi="Calibri" w:cs="Arial"/>
              <w:sz w:val="12"/>
              <w:szCs w:val="12"/>
            </w:rPr>
          </w:pPr>
          <w:r w:rsidRPr="00772E03">
            <w:rPr>
              <w:rFonts w:ascii="Calibri" w:hAnsi="Calibri" w:cs="Arial"/>
              <w:sz w:val="12"/>
              <w:szCs w:val="12"/>
            </w:rPr>
            <w:t>02-237 Warszawa</w:t>
          </w:r>
        </w:p>
      </w:tc>
      <w:tc>
        <w:tcPr>
          <w:tcW w:w="461" w:type="dxa"/>
        </w:tcPr>
        <w:p w:rsidR="004E5E3F" w:rsidRPr="00772E03" w:rsidRDefault="004E5E3F" w:rsidP="00752B16">
          <w:pPr>
            <w:snapToGrid w:val="0"/>
            <w:spacing w:before="60"/>
            <w:rPr>
              <w:rFonts w:ascii="Calibri" w:hAnsi="Calibri" w:cs="Arial"/>
              <w:sz w:val="12"/>
              <w:szCs w:val="12"/>
            </w:rPr>
          </w:pPr>
          <w:r w:rsidRPr="00772E03">
            <w:rPr>
              <w:rFonts w:ascii="Calibri" w:hAnsi="Calibri" w:cs="Arial"/>
              <w:sz w:val="12"/>
              <w:szCs w:val="12"/>
            </w:rPr>
            <w:t>Tel:</w:t>
          </w:r>
        </w:p>
      </w:tc>
      <w:tc>
        <w:tcPr>
          <w:tcW w:w="1462" w:type="dxa"/>
        </w:tcPr>
        <w:p w:rsidR="004E5E3F" w:rsidRPr="00772E03" w:rsidRDefault="004E5E3F" w:rsidP="00752B16">
          <w:pPr>
            <w:snapToGrid w:val="0"/>
            <w:spacing w:before="60"/>
            <w:rPr>
              <w:rFonts w:ascii="Calibri" w:hAnsi="Calibri" w:cs="Arial"/>
              <w:sz w:val="12"/>
              <w:szCs w:val="12"/>
            </w:rPr>
          </w:pPr>
          <w:r w:rsidRPr="00772E03">
            <w:rPr>
              <w:rFonts w:ascii="Calibri" w:hAnsi="Calibri" w:cs="Arial"/>
              <w:sz w:val="12"/>
              <w:szCs w:val="12"/>
            </w:rPr>
            <w:t>+48 22 2111497</w:t>
          </w:r>
        </w:p>
      </w:tc>
      <w:tc>
        <w:tcPr>
          <w:tcW w:w="518" w:type="dxa"/>
        </w:tcPr>
        <w:p w:rsidR="004E5E3F" w:rsidRPr="00772E03" w:rsidRDefault="004E5E3F" w:rsidP="00752B16">
          <w:pPr>
            <w:snapToGrid w:val="0"/>
            <w:spacing w:before="60"/>
            <w:rPr>
              <w:rFonts w:ascii="Calibri" w:hAnsi="Calibri" w:cs="Arial"/>
              <w:sz w:val="12"/>
              <w:szCs w:val="12"/>
            </w:rPr>
          </w:pPr>
          <w:proofErr w:type="spellStart"/>
          <w:r w:rsidRPr="00772E03">
            <w:rPr>
              <w:rFonts w:ascii="Calibri" w:hAnsi="Calibri" w:cs="Arial"/>
              <w:sz w:val="12"/>
              <w:szCs w:val="12"/>
            </w:rPr>
            <w:t>Fax</w:t>
          </w:r>
          <w:proofErr w:type="spellEnd"/>
          <w:r w:rsidRPr="00772E03">
            <w:rPr>
              <w:rFonts w:ascii="Calibri" w:hAnsi="Calibri" w:cs="Arial"/>
              <w:sz w:val="12"/>
              <w:szCs w:val="12"/>
            </w:rPr>
            <w:t>:</w:t>
          </w:r>
        </w:p>
      </w:tc>
      <w:tc>
        <w:tcPr>
          <w:tcW w:w="1270" w:type="dxa"/>
        </w:tcPr>
        <w:p w:rsidR="004E5E3F" w:rsidRPr="00772E03" w:rsidRDefault="004E5E3F" w:rsidP="00752B16">
          <w:pPr>
            <w:snapToGrid w:val="0"/>
            <w:spacing w:before="60"/>
            <w:rPr>
              <w:rFonts w:ascii="Calibri" w:hAnsi="Calibri" w:cs="Arial"/>
              <w:sz w:val="12"/>
              <w:szCs w:val="12"/>
            </w:rPr>
          </w:pPr>
          <w:r w:rsidRPr="00772E03">
            <w:rPr>
              <w:rFonts w:ascii="Calibri" w:hAnsi="Calibri" w:cs="Arial"/>
              <w:sz w:val="12"/>
              <w:szCs w:val="12"/>
            </w:rPr>
            <w:t>+48 22 2111498</w:t>
          </w:r>
        </w:p>
      </w:tc>
    </w:tr>
  </w:tbl>
  <w:p w:rsidR="004E5E3F" w:rsidRPr="007143EA" w:rsidRDefault="00351D08">
    <w:pPr>
      <w:pStyle w:val="Nagwek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4098" type="#_x0000_t32" style="position:absolute;margin-left:5.95pt;margin-top:5pt;width:461.25pt;height:.75pt;flip:y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"/>
      </w:pict>
    </w:r>
    <w:r w:rsidR="004E5E3F">
      <w:t xml:space="preserve">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multilevel"/>
    <w:tmpl w:val="00000007"/>
    <w:name w:val="WW8Num7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4B240B8"/>
    <w:multiLevelType w:val="multilevel"/>
    <w:tmpl w:val="C1F0AA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>
    <w:nsid w:val="0A5B073F"/>
    <w:multiLevelType w:val="multilevel"/>
    <w:tmpl w:val="3B4067AE"/>
    <w:lvl w:ilvl="0">
      <w:start w:val="1"/>
      <w:numFmt w:val="decimal"/>
      <w:lvlText w:val="%1"/>
      <w:lvlJc w:val="left"/>
      <w:pPr>
        <w:ind w:left="435" w:hanging="435"/>
      </w:pPr>
      <w:rPr>
        <w:rFonts w:eastAsiaTheme="minorHAnsi" w:hint="default"/>
        <w:color w:val="0000FF" w:themeColor="hyperlink"/>
        <w:u w:val="single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eastAsiaTheme="minorHAnsi" w:hint="default"/>
        <w:color w:val="0000FF" w:themeColor="hyperlink"/>
        <w:u w:val="single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eastAsiaTheme="minorHAnsi" w:hint="default"/>
        <w:color w:val="0000FF" w:themeColor="hyperlink"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hint="default"/>
        <w:color w:val="0000FF" w:themeColor="hyperlink"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  <w:color w:val="0000FF" w:themeColor="hyperlink"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hint="default"/>
        <w:color w:val="0000FF" w:themeColor="hyperlink"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  <w:color w:val="0000FF" w:themeColor="hyperlink"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hint="default"/>
        <w:color w:val="0000FF" w:themeColor="hyperlink"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hint="default"/>
        <w:color w:val="0000FF" w:themeColor="hyperlink"/>
        <w:u w:val="single"/>
      </w:rPr>
    </w:lvl>
  </w:abstractNum>
  <w:abstractNum w:abstractNumId="3">
    <w:nsid w:val="1B25019D"/>
    <w:multiLevelType w:val="hybridMultilevel"/>
    <w:tmpl w:val="AD260658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6B2C1A"/>
    <w:multiLevelType w:val="hybridMultilevel"/>
    <w:tmpl w:val="4D449EC8"/>
    <w:lvl w:ilvl="0" w:tplc="56B6F8C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40AF334D"/>
    <w:multiLevelType w:val="multilevel"/>
    <w:tmpl w:val="5198C9E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60" w:hanging="360"/>
      </w:pPr>
      <w:rPr>
        <w:rFonts w:hint="default"/>
      </w:rPr>
    </w:lvl>
    <w:lvl w:ilvl="2">
      <w:start w:val="2"/>
      <w:numFmt w:val="upperRoman"/>
      <w:lvlText w:val="%3."/>
      <w:lvlJc w:val="right"/>
      <w:pPr>
        <w:ind w:left="720" w:hanging="720"/>
      </w:pPr>
      <w:rPr>
        <w:rFonts w:asciiTheme="minorHAnsi" w:hAnsiTheme="minorHAnsi" w:hint="default"/>
        <w:b/>
        <w:color w:val="auto"/>
        <w:sz w:val="22"/>
        <w:szCs w:val="22"/>
      </w:rPr>
    </w:lvl>
    <w:lvl w:ilvl="3">
      <w:start w:val="1"/>
      <w:numFmt w:val="lowerRoman"/>
      <w:lvlText w:val="%4."/>
      <w:lvlJc w:val="righ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456D386E"/>
    <w:multiLevelType w:val="multilevel"/>
    <w:tmpl w:val="35C41232"/>
    <w:lvl w:ilvl="0">
      <w:start w:val="50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21"/>
      <w:numFmt w:val="decimal"/>
      <w:lvlText w:val="%1-%2"/>
      <w:lvlJc w:val="left"/>
      <w:pPr>
        <w:ind w:left="1309" w:hanging="60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72" w:hanging="1800"/>
      </w:pPr>
      <w:rPr>
        <w:rFonts w:hint="default"/>
      </w:rPr>
    </w:lvl>
  </w:abstractNum>
  <w:abstractNum w:abstractNumId="7">
    <w:nsid w:val="46A432A5"/>
    <w:multiLevelType w:val="multilevel"/>
    <w:tmpl w:val="0712B5F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60" w:hanging="360"/>
      </w:pPr>
      <w:rPr>
        <w:rFonts w:hint="default"/>
      </w:rPr>
    </w:lvl>
    <w:lvl w:ilvl="2">
      <w:start w:val="1"/>
      <w:numFmt w:val="upperRoman"/>
      <w:lvlText w:val="%3."/>
      <w:lvlJc w:val="right"/>
      <w:pPr>
        <w:ind w:left="720" w:hanging="720"/>
      </w:pPr>
    </w:lvl>
    <w:lvl w:ilvl="3">
      <w:start w:val="1"/>
      <w:numFmt w:val="lowerRoman"/>
      <w:lvlText w:val="%4."/>
      <w:lvlJc w:val="righ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470E1553"/>
    <w:multiLevelType w:val="multilevel"/>
    <w:tmpl w:val="BFE696A2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3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>
    <w:nsid w:val="51377B8D"/>
    <w:multiLevelType w:val="multilevel"/>
    <w:tmpl w:val="BFE696A2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>
    <w:nsid w:val="527C310F"/>
    <w:multiLevelType w:val="hybridMultilevel"/>
    <w:tmpl w:val="B718BE32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79B1A9E"/>
    <w:multiLevelType w:val="multilevel"/>
    <w:tmpl w:val="0712B5F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60" w:hanging="360"/>
      </w:pPr>
      <w:rPr>
        <w:rFonts w:hint="default"/>
      </w:rPr>
    </w:lvl>
    <w:lvl w:ilvl="2">
      <w:start w:val="1"/>
      <w:numFmt w:val="upperRoman"/>
      <w:lvlText w:val="%3."/>
      <w:lvlJc w:val="right"/>
      <w:pPr>
        <w:ind w:left="720" w:hanging="720"/>
      </w:pPr>
    </w:lvl>
    <w:lvl w:ilvl="3">
      <w:start w:val="1"/>
      <w:numFmt w:val="lowerRoman"/>
      <w:lvlText w:val="%4."/>
      <w:lvlJc w:val="righ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5B6619BE"/>
    <w:multiLevelType w:val="hybridMultilevel"/>
    <w:tmpl w:val="6556F94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B8130F2"/>
    <w:multiLevelType w:val="hybridMultilevel"/>
    <w:tmpl w:val="D8B8BD02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4C40547"/>
    <w:multiLevelType w:val="hybridMultilevel"/>
    <w:tmpl w:val="1548E14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917FB9"/>
    <w:multiLevelType w:val="hybridMultilevel"/>
    <w:tmpl w:val="4F3AEB8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7F74E96"/>
    <w:multiLevelType w:val="multilevel"/>
    <w:tmpl w:val="BFE696A2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3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>
    <w:nsid w:val="76A864C1"/>
    <w:multiLevelType w:val="hybridMultilevel"/>
    <w:tmpl w:val="32649264"/>
    <w:lvl w:ilvl="0" w:tplc="0415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>
    <w:nsid w:val="77153E22"/>
    <w:multiLevelType w:val="multilevel"/>
    <w:tmpl w:val="2988B31A"/>
    <w:lvl w:ilvl="0">
      <w:start w:val="1"/>
      <w:numFmt w:val="bullet"/>
      <w:lvlText w:val=""/>
      <w:lvlJc w:val="left"/>
      <w:pPr>
        <w:ind w:left="600" w:hanging="600"/>
      </w:pPr>
      <w:rPr>
        <w:rFonts w:ascii="Symbol" w:hAnsi="Symbol" w:hint="default"/>
        <w:color w:val="auto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hint="default"/>
        <w:sz w:val="22"/>
        <w:szCs w:val="22"/>
      </w:rPr>
    </w:lvl>
    <w:lvl w:ilvl="3">
      <w:start w:val="3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>
    <w:nsid w:val="7F20380D"/>
    <w:multiLevelType w:val="hybridMultilevel"/>
    <w:tmpl w:val="DD64C2F0"/>
    <w:lvl w:ilvl="0" w:tplc="225439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9"/>
  </w:num>
  <w:num w:numId="3">
    <w:abstractNumId w:val="7"/>
  </w:num>
  <w:num w:numId="4">
    <w:abstractNumId w:val="6"/>
  </w:num>
  <w:num w:numId="5">
    <w:abstractNumId w:val="18"/>
  </w:num>
  <w:num w:numId="6">
    <w:abstractNumId w:val="16"/>
  </w:num>
  <w:num w:numId="7">
    <w:abstractNumId w:val="9"/>
  </w:num>
  <w:num w:numId="8">
    <w:abstractNumId w:val="8"/>
  </w:num>
  <w:num w:numId="9">
    <w:abstractNumId w:val="0"/>
  </w:num>
  <w:num w:numId="10">
    <w:abstractNumId w:val="12"/>
  </w:num>
  <w:num w:numId="11">
    <w:abstractNumId w:val="2"/>
  </w:num>
  <w:num w:numId="12">
    <w:abstractNumId w:val="3"/>
  </w:num>
  <w:num w:numId="13">
    <w:abstractNumId w:val="11"/>
  </w:num>
  <w:num w:numId="14">
    <w:abstractNumId w:val="5"/>
  </w:num>
  <w:num w:numId="15">
    <w:abstractNumId w:val="17"/>
  </w:num>
  <w:num w:numId="16">
    <w:abstractNumId w:val="4"/>
  </w:num>
  <w:num w:numId="17">
    <w:abstractNumId w:val="14"/>
  </w:num>
  <w:num w:numId="18">
    <w:abstractNumId w:val="10"/>
  </w:num>
  <w:num w:numId="19">
    <w:abstractNumId w:val="13"/>
  </w:num>
  <w:num w:numId="20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33794"/>
    <o:shapelayout v:ext="edit">
      <o:idmap v:ext="edit" data="4"/>
      <o:rules v:ext="edit">
        <o:r id="V:Rule2" type="connector" idref="#AutoShape 2"/>
      </o:rules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2B6C28"/>
    <w:rsid w:val="000021F4"/>
    <w:rsid w:val="00005218"/>
    <w:rsid w:val="00031546"/>
    <w:rsid w:val="00031621"/>
    <w:rsid w:val="00044FC3"/>
    <w:rsid w:val="000A1802"/>
    <w:rsid w:val="000A79B8"/>
    <w:rsid w:val="000D391B"/>
    <w:rsid w:val="00102723"/>
    <w:rsid w:val="0010689B"/>
    <w:rsid w:val="0011135B"/>
    <w:rsid w:val="00147AA5"/>
    <w:rsid w:val="00154883"/>
    <w:rsid w:val="001643C1"/>
    <w:rsid w:val="0018411C"/>
    <w:rsid w:val="001C1DCF"/>
    <w:rsid w:val="00200DCD"/>
    <w:rsid w:val="00227B87"/>
    <w:rsid w:val="00231F7B"/>
    <w:rsid w:val="0023443E"/>
    <w:rsid w:val="00235307"/>
    <w:rsid w:val="00241BBD"/>
    <w:rsid w:val="00267179"/>
    <w:rsid w:val="002771E2"/>
    <w:rsid w:val="00292206"/>
    <w:rsid w:val="002A18D8"/>
    <w:rsid w:val="002B6C28"/>
    <w:rsid w:val="002C3CAC"/>
    <w:rsid w:val="003012BD"/>
    <w:rsid w:val="00325190"/>
    <w:rsid w:val="00345739"/>
    <w:rsid w:val="00351D08"/>
    <w:rsid w:val="00362E11"/>
    <w:rsid w:val="00372E02"/>
    <w:rsid w:val="00380278"/>
    <w:rsid w:val="003B29A7"/>
    <w:rsid w:val="003D04C3"/>
    <w:rsid w:val="003D5C13"/>
    <w:rsid w:val="003E03F6"/>
    <w:rsid w:val="003E4C87"/>
    <w:rsid w:val="003F5E1C"/>
    <w:rsid w:val="003F63F7"/>
    <w:rsid w:val="0040497E"/>
    <w:rsid w:val="00404A41"/>
    <w:rsid w:val="00430A4F"/>
    <w:rsid w:val="0043387F"/>
    <w:rsid w:val="00440401"/>
    <w:rsid w:val="00440961"/>
    <w:rsid w:val="00461C82"/>
    <w:rsid w:val="00463B91"/>
    <w:rsid w:val="004B2D5C"/>
    <w:rsid w:val="004E5E3F"/>
    <w:rsid w:val="004E650A"/>
    <w:rsid w:val="004F5BF8"/>
    <w:rsid w:val="00504629"/>
    <w:rsid w:val="00506713"/>
    <w:rsid w:val="0052762D"/>
    <w:rsid w:val="00531817"/>
    <w:rsid w:val="0054684C"/>
    <w:rsid w:val="00596D6E"/>
    <w:rsid w:val="005A73FC"/>
    <w:rsid w:val="005B0C8F"/>
    <w:rsid w:val="005B1651"/>
    <w:rsid w:val="005C4F3D"/>
    <w:rsid w:val="005D0978"/>
    <w:rsid w:val="005E02CA"/>
    <w:rsid w:val="005F14C6"/>
    <w:rsid w:val="00603A70"/>
    <w:rsid w:val="00605A03"/>
    <w:rsid w:val="00614972"/>
    <w:rsid w:val="00631F8C"/>
    <w:rsid w:val="006422F1"/>
    <w:rsid w:val="00660476"/>
    <w:rsid w:val="00667E8B"/>
    <w:rsid w:val="00677D44"/>
    <w:rsid w:val="00681AAF"/>
    <w:rsid w:val="00696C62"/>
    <w:rsid w:val="006A3AA7"/>
    <w:rsid w:val="006B796C"/>
    <w:rsid w:val="006C656E"/>
    <w:rsid w:val="006E357F"/>
    <w:rsid w:val="006E44A4"/>
    <w:rsid w:val="006F1561"/>
    <w:rsid w:val="006F3221"/>
    <w:rsid w:val="006F563D"/>
    <w:rsid w:val="007143EA"/>
    <w:rsid w:val="00731F85"/>
    <w:rsid w:val="00735FA3"/>
    <w:rsid w:val="007445D4"/>
    <w:rsid w:val="0075013D"/>
    <w:rsid w:val="00752B16"/>
    <w:rsid w:val="00762BC4"/>
    <w:rsid w:val="00787363"/>
    <w:rsid w:val="007A4FC2"/>
    <w:rsid w:val="007B4636"/>
    <w:rsid w:val="007B4DA7"/>
    <w:rsid w:val="007B6308"/>
    <w:rsid w:val="007F6CCF"/>
    <w:rsid w:val="007F7232"/>
    <w:rsid w:val="008078E4"/>
    <w:rsid w:val="00843625"/>
    <w:rsid w:val="008510AC"/>
    <w:rsid w:val="00853F55"/>
    <w:rsid w:val="00857F17"/>
    <w:rsid w:val="00863315"/>
    <w:rsid w:val="0088600C"/>
    <w:rsid w:val="008905BE"/>
    <w:rsid w:val="008A286B"/>
    <w:rsid w:val="008B211D"/>
    <w:rsid w:val="008F0B89"/>
    <w:rsid w:val="008F12D2"/>
    <w:rsid w:val="008F7C35"/>
    <w:rsid w:val="009124A4"/>
    <w:rsid w:val="00916EBD"/>
    <w:rsid w:val="00952BD3"/>
    <w:rsid w:val="00965F9E"/>
    <w:rsid w:val="0099364D"/>
    <w:rsid w:val="009D1A5C"/>
    <w:rsid w:val="009D2032"/>
    <w:rsid w:val="009D329B"/>
    <w:rsid w:val="009D7642"/>
    <w:rsid w:val="009E077F"/>
    <w:rsid w:val="00A1362E"/>
    <w:rsid w:val="00A162FD"/>
    <w:rsid w:val="00A2412C"/>
    <w:rsid w:val="00A25C23"/>
    <w:rsid w:val="00A74DDC"/>
    <w:rsid w:val="00A75CFE"/>
    <w:rsid w:val="00A91714"/>
    <w:rsid w:val="00AE32B3"/>
    <w:rsid w:val="00B02132"/>
    <w:rsid w:val="00B2171A"/>
    <w:rsid w:val="00B36E1B"/>
    <w:rsid w:val="00B60667"/>
    <w:rsid w:val="00B95928"/>
    <w:rsid w:val="00BA1199"/>
    <w:rsid w:val="00BD568C"/>
    <w:rsid w:val="00C11717"/>
    <w:rsid w:val="00C1419E"/>
    <w:rsid w:val="00C25470"/>
    <w:rsid w:val="00C258E9"/>
    <w:rsid w:val="00C6766A"/>
    <w:rsid w:val="00C76A73"/>
    <w:rsid w:val="00C96D6C"/>
    <w:rsid w:val="00CA453A"/>
    <w:rsid w:val="00CB387B"/>
    <w:rsid w:val="00CB74E8"/>
    <w:rsid w:val="00CC7B09"/>
    <w:rsid w:val="00CE6F9C"/>
    <w:rsid w:val="00D075F3"/>
    <w:rsid w:val="00D3638D"/>
    <w:rsid w:val="00D4669A"/>
    <w:rsid w:val="00D46A7B"/>
    <w:rsid w:val="00D51280"/>
    <w:rsid w:val="00D56868"/>
    <w:rsid w:val="00D63951"/>
    <w:rsid w:val="00D67050"/>
    <w:rsid w:val="00D74D28"/>
    <w:rsid w:val="00D8176B"/>
    <w:rsid w:val="00D8692E"/>
    <w:rsid w:val="00D9008D"/>
    <w:rsid w:val="00D96F3A"/>
    <w:rsid w:val="00DA421F"/>
    <w:rsid w:val="00DB6E0F"/>
    <w:rsid w:val="00DF2F25"/>
    <w:rsid w:val="00DF6B9D"/>
    <w:rsid w:val="00E0106E"/>
    <w:rsid w:val="00E0436B"/>
    <w:rsid w:val="00E23125"/>
    <w:rsid w:val="00E35F8F"/>
    <w:rsid w:val="00E67CDB"/>
    <w:rsid w:val="00EA4270"/>
    <w:rsid w:val="00EA4D77"/>
    <w:rsid w:val="00EB1982"/>
    <w:rsid w:val="00EC06E3"/>
    <w:rsid w:val="00EC0AB0"/>
    <w:rsid w:val="00ED08BA"/>
    <w:rsid w:val="00ED49CA"/>
    <w:rsid w:val="00F10322"/>
    <w:rsid w:val="00F318F1"/>
    <w:rsid w:val="00F47ECD"/>
    <w:rsid w:val="00F8199F"/>
    <w:rsid w:val="00F91EB0"/>
    <w:rsid w:val="00F94749"/>
    <w:rsid w:val="00FB3AB6"/>
    <w:rsid w:val="00FC6C56"/>
    <w:rsid w:val="00FE0DB4"/>
    <w:rsid w:val="00FE11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72E02"/>
  </w:style>
  <w:style w:type="paragraph" w:styleId="Nagwek1">
    <w:name w:val="heading 1"/>
    <w:basedOn w:val="Normalny"/>
    <w:next w:val="Normalny"/>
    <w:link w:val="Nagwek1Znak"/>
    <w:uiPriority w:val="9"/>
    <w:qFormat/>
    <w:rsid w:val="002B6C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A421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B6C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DA421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kapitzlist">
    <w:name w:val="List Paragraph"/>
    <w:basedOn w:val="Normalny"/>
    <w:uiPriority w:val="34"/>
    <w:qFormat/>
    <w:rsid w:val="00DA421F"/>
    <w:pPr>
      <w:ind w:left="720"/>
      <w:contextualSpacing/>
    </w:pPr>
  </w:style>
  <w:style w:type="table" w:styleId="Tabela-Siatka">
    <w:name w:val="Table Grid"/>
    <w:basedOn w:val="Standardowy"/>
    <w:uiPriority w:val="59"/>
    <w:rsid w:val="00227B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aliases w:val="Nagłówek strony"/>
    <w:basedOn w:val="Normalny"/>
    <w:link w:val="NagwekZnak"/>
    <w:rsid w:val="0010689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10689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W-Tekstpodstawowy3">
    <w:name w:val="WW-Tekst podstawowy 3"/>
    <w:basedOn w:val="Normalny"/>
    <w:rsid w:val="0010689B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Default">
    <w:name w:val="Default"/>
    <w:rsid w:val="0010689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unhideWhenUsed/>
    <w:rsid w:val="006E44A4"/>
    <w:pPr>
      <w:tabs>
        <w:tab w:val="left" w:pos="567"/>
        <w:tab w:val="left" w:pos="660"/>
        <w:tab w:val="right" w:leader="dot" w:pos="9062"/>
      </w:tabs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D63951"/>
    <w:pPr>
      <w:spacing w:after="100"/>
      <w:ind w:left="220"/>
    </w:pPr>
  </w:style>
  <w:style w:type="character" w:styleId="Hipercze">
    <w:name w:val="Hyperlink"/>
    <w:basedOn w:val="Domylnaczcionkaakapitu"/>
    <w:uiPriority w:val="99"/>
    <w:unhideWhenUsed/>
    <w:rsid w:val="00D63951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7F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7F17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154883"/>
  </w:style>
  <w:style w:type="paragraph" w:customStyle="1" w:styleId="Zwykytekst2">
    <w:name w:val="Zwykły tekst2"/>
    <w:basedOn w:val="Nagwek"/>
    <w:rsid w:val="00154883"/>
    <w:pPr>
      <w:suppressLineNumbers/>
      <w:tabs>
        <w:tab w:val="clear" w:pos="4536"/>
        <w:tab w:val="clear" w:pos="9072"/>
        <w:tab w:val="left" w:pos="578"/>
        <w:tab w:val="left" w:pos="1156"/>
      </w:tabs>
      <w:suppressAutoHyphens/>
      <w:spacing w:before="60" w:after="60"/>
      <w:ind w:left="578" w:firstLine="567"/>
      <w:jc w:val="both"/>
    </w:pPr>
    <w:rPr>
      <w:rFonts w:ascii="Arial" w:hAnsi="Arial" w:cs="Courier New"/>
      <w:color w:val="0000FF"/>
      <w:sz w:val="22"/>
      <w:szCs w:val="20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5488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54883"/>
  </w:style>
  <w:style w:type="paragraph" w:styleId="Stopka">
    <w:name w:val="footer"/>
    <w:basedOn w:val="Normalny"/>
    <w:link w:val="StopkaZnak"/>
    <w:uiPriority w:val="99"/>
    <w:unhideWhenUsed/>
    <w:rsid w:val="007143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43EA"/>
  </w:style>
  <w:style w:type="paragraph" w:customStyle="1" w:styleId="Tekstpodstawowy22">
    <w:name w:val="Tekst podstawowy 22"/>
    <w:basedOn w:val="Normalny"/>
    <w:rsid w:val="00A75CFE"/>
    <w:pPr>
      <w:tabs>
        <w:tab w:val="left" w:pos="720"/>
      </w:tabs>
      <w:suppressAutoHyphens/>
      <w:overflowPunct w:val="0"/>
      <w:autoSpaceDE w:val="0"/>
      <w:spacing w:after="0" w:line="240" w:lineRule="auto"/>
      <w:ind w:left="36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NormalnyWeb">
    <w:name w:val="Normal (Web)"/>
    <w:basedOn w:val="Normalny"/>
    <w:uiPriority w:val="99"/>
    <w:semiHidden/>
    <w:unhideWhenUsed/>
    <w:rsid w:val="008078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B6C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A421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B6C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DA421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kapitzlist">
    <w:name w:val="List Paragraph"/>
    <w:basedOn w:val="Normalny"/>
    <w:uiPriority w:val="34"/>
    <w:qFormat/>
    <w:rsid w:val="00DA421F"/>
    <w:pPr>
      <w:ind w:left="720"/>
      <w:contextualSpacing/>
    </w:pPr>
  </w:style>
  <w:style w:type="table" w:styleId="Tabela-Siatka">
    <w:name w:val="Table Grid"/>
    <w:basedOn w:val="Standardowy"/>
    <w:uiPriority w:val="59"/>
    <w:rsid w:val="00227B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aliases w:val="Nagłówek strony"/>
    <w:basedOn w:val="Normalny"/>
    <w:link w:val="NagwekZnak"/>
    <w:rsid w:val="0010689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10689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W-Tekstpodstawowy3">
    <w:name w:val="WW-Tekst podstawowy 3"/>
    <w:basedOn w:val="Normalny"/>
    <w:rsid w:val="0010689B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Default">
    <w:name w:val="Default"/>
    <w:rsid w:val="0010689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unhideWhenUsed/>
    <w:rsid w:val="006E44A4"/>
    <w:pPr>
      <w:tabs>
        <w:tab w:val="left" w:pos="567"/>
        <w:tab w:val="left" w:pos="660"/>
        <w:tab w:val="right" w:leader="dot" w:pos="9062"/>
      </w:tabs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D63951"/>
    <w:pPr>
      <w:spacing w:after="100"/>
      <w:ind w:left="220"/>
    </w:pPr>
  </w:style>
  <w:style w:type="character" w:styleId="Hipercze">
    <w:name w:val="Hyperlink"/>
    <w:basedOn w:val="Domylnaczcionkaakapitu"/>
    <w:uiPriority w:val="99"/>
    <w:unhideWhenUsed/>
    <w:rsid w:val="00D63951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7F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7F17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154883"/>
  </w:style>
  <w:style w:type="paragraph" w:customStyle="1" w:styleId="Zwykytekst2">
    <w:name w:val="Zwykły tekst2"/>
    <w:basedOn w:val="Nagwek"/>
    <w:rsid w:val="00154883"/>
    <w:pPr>
      <w:suppressLineNumbers/>
      <w:tabs>
        <w:tab w:val="clear" w:pos="4536"/>
        <w:tab w:val="clear" w:pos="9072"/>
        <w:tab w:val="left" w:pos="578"/>
        <w:tab w:val="left" w:pos="1156"/>
      </w:tabs>
      <w:suppressAutoHyphens/>
      <w:spacing w:before="60" w:after="60"/>
      <w:ind w:left="578" w:firstLine="567"/>
      <w:jc w:val="both"/>
    </w:pPr>
    <w:rPr>
      <w:rFonts w:ascii="Arial" w:hAnsi="Arial" w:cs="Courier New"/>
      <w:color w:val="0000FF"/>
      <w:sz w:val="22"/>
      <w:szCs w:val="20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5488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54883"/>
  </w:style>
  <w:style w:type="paragraph" w:styleId="Stopka">
    <w:name w:val="footer"/>
    <w:basedOn w:val="Normalny"/>
    <w:link w:val="StopkaZnak"/>
    <w:uiPriority w:val="99"/>
    <w:unhideWhenUsed/>
    <w:rsid w:val="007143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43EA"/>
  </w:style>
  <w:style w:type="paragraph" w:customStyle="1" w:styleId="Tekstpodstawowy22">
    <w:name w:val="Tekst podstawowy 22"/>
    <w:basedOn w:val="Normalny"/>
    <w:rsid w:val="00A75CFE"/>
    <w:pPr>
      <w:tabs>
        <w:tab w:val="left" w:pos="720"/>
      </w:tabs>
      <w:suppressAutoHyphens/>
      <w:overflowPunct w:val="0"/>
      <w:autoSpaceDE w:val="0"/>
      <w:spacing w:after="0" w:line="240" w:lineRule="auto"/>
      <w:ind w:left="36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NormalnyWeb">
    <w:name w:val="Normal (Web)"/>
    <w:basedOn w:val="Normalny"/>
    <w:uiPriority w:val="99"/>
    <w:semiHidden/>
    <w:unhideWhenUsed/>
    <w:rsid w:val="008078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6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88A514-1251-41A3-89AC-59C5FB607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1297</Words>
  <Characters>7785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Julek</dc:creator>
  <cp:lastModifiedBy>user</cp:lastModifiedBy>
  <cp:revision>20</cp:revision>
  <dcterms:created xsi:type="dcterms:W3CDTF">2012-09-13T11:51:00Z</dcterms:created>
  <dcterms:modified xsi:type="dcterms:W3CDTF">2014-05-16T13:00:00Z</dcterms:modified>
</cp:coreProperties>
</file>