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84" w:rsidRPr="00C6494D" w:rsidRDefault="008738E0">
      <w:pPr>
        <w:spacing w:before="52"/>
        <w:ind w:left="178" w:right="112"/>
        <w:jc w:val="right"/>
        <w:rPr>
          <w:rFonts w:asciiTheme="minorHAnsi" w:hAnsiTheme="minorHAnsi" w:cstheme="minorHAnsi"/>
          <w:i/>
          <w:sz w:val="18"/>
          <w:szCs w:val="18"/>
        </w:rPr>
      </w:pPr>
      <w:r w:rsidRPr="00C6494D">
        <w:rPr>
          <w:rFonts w:asciiTheme="minorHAnsi" w:hAnsiTheme="minorHAnsi" w:cstheme="minorHAnsi"/>
          <w:i/>
          <w:sz w:val="18"/>
          <w:szCs w:val="18"/>
        </w:rPr>
        <w:t>Załącznik nr 3</w:t>
      </w:r>
      <w:r w:rsidRPr="00C6494D">
        <w:rPr>
          <w:rFonts w:asciiTheme="minorHAnsi" w:hAnsiTheme="minorHAnsi" w:cstheme="minorHAnsi"/>
          <w:i/>
          <w:w w:val="90"/>
          <w:sz w:val="18"/>
          <w:szCs w:val="18"/>
        </w:rPr>
        <w:t xml:space="preserve"> do</w:t>
      </w:r>
      <w:r w:rsidR="003C19E3" w:rsidRPr="00C6494D">
        <w:rPr>
          <w:rFonts w:asciiTheme="minorHAnsi" w:hAnsiTheme="minorHAnsi" w:cstheme="minorHAnsi"/>
          <w:i/>
          <w:w w:val="90"/>
          <w:sz w:val="18"/>
          <w:szCs w:val="18"/>
        </w:rPr>
        <w:t xml:space="preserve"> Zasad</w:t>
      </w:r>
      <w:r w:rsidRPr="00C6494D">
        <w:rPr>
          <w:rFonts w:asciiTheme="minorHAnsi" w:hAnsiTheme="minorHAnsi" w:cstheme="minorHAnsi"/>
          <w:i/>
          <w:sz w:val="18"/>
          <w:szCs w:val="18"/>
        </w:rPr>
        <w:t xml:space="preserve"> funkcjonowania podmiotów studenckich</w:t>
      </w:r>
      <w:r w:rsidRPr="00C6494D">
        <w:rPr>
          <w:rFonts w:asciiTheme="minorHAnsi" w:hAnsiTheme="minorHAnsi" w:cstheme="minorHAnsi"/>
          <w:i/>
          <w:sz w:val="18"/>
          <w:szCs w:val="18"/>
        </w:rPr>
        <w:br/>
        <w:t xml:space="preserve"> i doktoranckich oraz przeznaczania przez</w:t>
      </w:r>
      <w:r w:rsidRPr="00C6494D">
        <w:rPr>
          <w:rFonts w:asciiTheme="minorHAnsi" w:hAnsiTheme="minorHAnsi" w:cstheme="minorHAnsi"/>
          <w:i/>
          <w:sz w:val="18"/>
          <w:szCs w:val="18"/>
        </w:rPr>
        <w:br/>
        <w:t xml:space="preserve"> Uniwersytet Ekonomiczny w Poznaniu </w:t>
      </w:r>
      <w:r w:rsidRPr="00C6494D">
        <w:rPr>
          <w:rFonts w:asciiTheme="minorHAnsi" w:hAnsiTheme="minorHAnsi" w:cstheme="minorHAnsi"/>
          <w:i/>
          <w:sz w:val="18"/>
          <w:szCs w:val="18"/>
        </w:rPr>
        <w:br/>
        <w:t xml:space="preserve">środków na realizację ich działań </w:t>
      </w:r>
    </w:p>
    <w:p w:rsidR="00AD2D84" w:rsidRDefault="00AD2D84">
      <w:pPr>
        <w:tabs>
          <w:tab w:val="left" w:pos="4111"/>
        </w:tabs>
        <w:spacing w:after="0"/>
        <w:ind w:left="4320"/>
        <w:jc w:val="both"/>
        <w:rPr>
          <w:rFonts w:asciiTheme="minorHAnsi" w:hAnsiTheme="minorHAnsi" w:cstheme="minorHAnsi"/>
          <w:i/>
          <w:sz w:val="18"/>
          <w:szCs w:val="18"/>
        </w:rPr>
      </w:pPr>
    </w:p>
    <w:p w:rsidR="00AD2D84" w:rsidRDefault="00AD2D84">
      <w:pPr>
        <w:pStyle w:val="Nagwek11"/>
        <w:spacing w:line="290" w:lineRule="auto"/>
        <w:ind w:left="0" w:right="-46"/>
        <w:rPr>
          <w:rFonts w:ascii="Calibri Light" w:hAnsi="Calibri Light"/>
          <w:w w:val="90"/>
          <w:sz w:val="18"/>
          <w:szCs w:val="18"/>
        </w:rPr>
      </w:pPr>
    </w:p>
    <w:p w:rsidR="00AD2D84" w:rsidRDefault="008738E0">
      <w:pPr>
        <w:pStyle w:val="Nagwek11"/>
        <w:spacing w:line="240" w:lineRule="auto"/>
        <w:ind w:left="0" w:right="-46"/>
        <w:rPr>
          <w:rFonts w:asciiTheme="minorHAnsi" w:hAnsiTheme="minorHAnsi"/>
          <w:sz w:val="22"/>
          <w:szCs w:val="22"/>
        </w:rPr>
      </w:pPr>
      <w:r>
        <w:rPr>
          <w:rFonts w:asciiTheme="minorHAnsi" w:hAnsiTheme="minorHAnsi"/>
          <w:w w:val="90"/>
          <w:sz w:val="22"/>
          <w:szCs w:val="22"/>
        </w:rPr>
        <w:t>Reguły przyznawania środków finansowych</w:t>
      </w:r>
    </w:p>
    <w:p w:rsidR="00AD2D84" w:rsidRDefault="008738E0">
      <w:pPr>
        <w:pStyle w:val="Nagwek11"/>
        <w:spacing w:line="240" w:lineRule="auto"/>
        <w:ind w:left="0" w:right="-46"/>
        <w:rPr>
          <w:rFonts w:asciiTheme="minorHAnsi" w:hAnsiTheme="minorHAnsi"/>
          <w:w w:val="90"/>
          <w:sz w:val="22"/>
          <w:szCs w:val="22"/>
        </w:rPr>
      </w:pPr>
      <w:r>
        <w:rPr>
          <w:rFonts w:asciiTheme="minorHAnsi" w:hAnsiTheme="minorHAnsi"/>
          <w:w w:val="90"/>
          <w:sz w:val="22"/>
          <w:szCs w:val="22"/>
        </w:rPr>
        <w:t>studenckim kołom naukowym</w:t>
      </w:r>
    </w:p>
    <w:p w:rsidR="00AD2D84" w:rsidRDefault="00AD2D84">
      <w:pPr>
        <w:pStyle w:val="Nagwek11"/>
        <w:spacing w:line="240" w:lineRule="auto"/>
        <w:ind w:left="2456"/>
        <w:rPr>
          <w:rFonts w:asciiTheme="minorHAnsi" w:hAnsiTheme="minorHAnsi"/>
          <w:b w:val="0"/>
          <w:sz w:val="16"/>
          <w:szCs w:val="16"/>
        </w:rPr>
      </w:pPr>
    </w:p>
    <w:p w:rsidR="00AD2D84" w:rsidRDefault="008738E0">
      <w:pPr>
        <w:spacing w:after="120" w:line="240" w:lineRule="auto"/>
        <w:jc w:val="center"/>
        <w:rPr>
          <w:rFonts w:asciiTheme="minorHAnsi" w:hAnsiTheme="minorHAnsi"/>
          <w:b/>
          <w:w w:val="95"/>
        </w:rPr>
      </w:pPr>
      <w:r>
        <w:rPr>
          <w:rFonts w:asciiTheme="minorHAnsi" w:hAnsiTheme="minorHAnsi"/>
          <w:b/>
          <w:w w:val="95"/>
        </w:rPr>
        <w:t xml:space="preserve">§ 1 Zasady ustalania wielkości środków </w:t>
      </w:r>
    </w:p>
    <w:p w:rsidR="00AD2D84" w:rsidRDefault="008738E0">
      <w:pPr>
        <w:pStyle w:val="Akapitzlist"/>
        <w:numPr>
          <w:ilvl w:val="0"/>
          <w:numId w:val="1"/>
        </w:numPr>
        <w:spacing w:line="240" w:lineRule="auto"/>
        <w:ind w:left="284" w:hanging="284"/>
        <w:rPr>
          <w:rFonts w:asciiTheme="minorHAnsi" w:hAnsiTheme="minorHAnsi"/>
          <w:b/>
          <w:sz w:val="28"/>
          <w:szCs w:val="28"/>
        </w:rPr>
      </w:pPr>
      <w:r>
        <w:rPr>
          <w:rFonts w:asciiTheme="minorHAnsi" w:hAnsiTheme="minorHAnsi"/>
          <w:w w:val="95"/>
        </w:rPr>
        <w:t>Wysokość środków przeznaczonych na realizację działań regulaminowych studenckich kół naukowych</w:t>
      </w:r>
      <w:r w:rsidR="00A86183">
        <w:rPr>
          <w:rFonts w:asciiTheme="minorHAnsi" w:hAnsiTheme="minorHAnsi"/>
          <w:w w:val="95"/>
        </w:rPr>
        <w:t xml:space="preserve"> (dalej zwanych SKN) </w:t>
      </w:r>
      <w:r>
        <w:rPr>
          <w:rFonts w:asciiTheme="minorHAnsi" w:hAnsiTheme="minorHAnsi"/>
          <w:w w:val="95"/>
        </w:rPr>
        <w:t xml:space="preserve">ustalana jest według </w:t>
      </w:r>
      <w:r w:rsidR="00A86183">
        <w:rPr>
          <w:rFonts w:asciiTheme="minorHAnsi" w:hAnsiTheme="minorHAnsi"/>
          <w:w w:val="95"/>
        </w:rPr>
        <w:t>reguł określonych</w:t>
      </w:r>
      <w:r>
        <w:rPr>
          <w:rFonts w:asciiTheme="minorHAnsi" w:hAnsiTheme="minorHAnsi"/>
          <w:w w:val="95"/>
        </w:rPr>
        <w:t xml:space="preserve"> w § 3 Zasad funkcjonowania podmiotów studenckich i doktoranckich oraz</w:t>
      </w:r>
      <w:r w:rsidR="00A86183">
        <w:rPr>
          <w:rFonts w:asciiTheme="minorHAnsi" w:hAnsiTheme="minorHAnsi"/>
          <w:w w:val="95"/>
        </w:rPr>
        <w:t xml:space="preserve"> </w:t>
      </w:r>
      <w:r>
        <w:rPr>
          <w:rFonts w:asciiTheme="minorHAnsi" w:hAnsiTheme="minorHAnsi"/>
          <w:w w:val="95"/>
        </w:rPr>
        <w:t>przeznaczania przez Uniwersytet Ekonomiczny w Poznaniu środków na realizację ich działań (zwanych dalej Zasadami).</w:t>
      </w:r>
      <w:r>
        <w:rPr>
          <w:rFonts w:asciiTheme="minorHAnsi" w:hAnsiTheme="minorHAnsi"/>
          <w:b/>
          <w:sz w:val="28"/>
          <w:szCs w:val="28"/>
        </w:rPr>
        <w:t xml:space="preserve"> </w:t>
      </w:r>
    </w:p>
    <w:p w:rsidR="00AD2D84" w:rsidRDefault="008738E0" w:rsidP="0093452F">
      <w:pPr>
        <w:pStyle w:val="Akapitzlist"/>
        <w:numPr>
          <w:ilvl w:val="0"/>
          <w:numId w:val="1"/>
        </w:numPr>
        <w:spacing w:before="62" w:line="240" w:lineRule="auto"/>
        <w:ind w:left="284" w:right="-46" w:hanging="284"/>
        <w:rPr>
          <w:rFonts w:asciiTheme="minorHAnsi" w:hAnsiTheme="minorHAnsi"/>
          <w:w w:val="95"/>
        </w:rPr>
      </w:pPr>
      <w:r>
        <w:rPr>
          <w:rFonts w:asciiTheme="minorHAnsi" w:hAnsiTheme="minorHAnsi"/>
          <w:w w:val="95"/>
        </w:rPr>
        <w:t>Środki, o których mowa w ust. 1 powyżej, przeznaczone na działalność studenckich kół naukowych, zwanych dalej SKN, podlegają podziałowi wyłącznie pomiędzy te SKN, które złożyły w</w:t>
      </w:r>
      <w:r w:rsidR="00A86183">
        <w:rPr>
          <w:rFonts w:asciiTheme="minorHAnsi" w:hAnsiTheme="minorHAnsi"/>
          <w:w w:val="95"/>
        </w:rPr>
        <w:t xml:space="preserve"> </w:t>
      </w:r>
      <w:r>
        <w:rPr>
          <w:rFonts w:asciiTheme="minorHAnsi" w:hAnsiTheme="minorHAnsi"/>
          <w:w w:val="95"/>
        </w:rPr>
        <w:t>terminie i miejscu, wskazanym w § 5 ust. 2 i 3 Zasad:</w:t>
      </w:r>
    </w:p>
    <w:p w:rsidR="00AD2D84" w:rsidRDefault="008738E0" w:rsidP="00A2710D">
      <w:pPr>
        <w:pStyle w:val="Akapitzlist"/>
        <w:numPr>
          <w:ilvl w:val="0"/>
          <w:numId w:val="2"/>
        </w:numPr>
        <w:spacing w:before="62" w:line="240" w:lineRule="auto"/>
        <w:ind w:left="567" w:right="112" w:hanging="283"/>
        <w:rPr>
          <w:rFonts w:asciiTheme="minorHAnsi" w:hAnsiTheme="minorHAnsi"/>
          <w:w w:val="95"/>
        </w:rPr>
      </w:pPr>
      <w:r>
        <w:rPr>
          <w:rFonts w:asciiTheme="minorHAnsi" w:hAnsiTheme="minorHAnsi"/>
          <w:w w:val="95"/>
        </w:rPr>
        <w:t>plan działań – stanowiący załącznik nr 1 do Zasad;</w:t>
      </w:r>
    </w:p>
    <w:p w:rsidR="00AD2D84" w:rsidRDefault="008738E0" w:rsidP="00A2710D">
      <w:pPr>
        <w:pStyle w:val="Akapitzlist"/>
        <w:numPr>
          <w:ilvl w:val="0"/>
          <w:numId w:val="2"/>
        </w:numPr>
        <w:spacing w:before="62" w:line="240" w:lineRule="auto"/>
        <w:ind w:left="567" w:right="112" w:hanging="283"/>
        <w:rPr>
          <w:rFonts w:asciiTheme="minorHAnsi" w:hAnsiTheme="minorHAnsi"/>
          <w:w w:val="95"/>
        </w:rPr>
      </w:pPr>
      <w:r>
        <w:rPr>
          <w:rFonts w:asciiTheme="minorHAnsi" w:hAnsiTheme="minorHAnsi"/>
          <w:w w:val="95"/>
        </w:rPr>
        <w:t>sprawozdanie merytoryczne i rozliczenie finansowe z działalności - stanowiące załącznik nr 2b do Zasad .</w:t>
      </w:r>
    </w:p>
    <w:p w:rsidR="00AD2D84" w:rsidRDefault="00AD2D84">
      <w:pPr>
        <w:pStyle w:val="Akapitzlist"/>
        <w:spacing w:before="62" w:line="240" w:lineRule="auto"/>
        <w:ind w:left="567" w:right="112" w:firstLine="0"/>
        <w:jc w:val="center"/>
        <w:rPr>
          <w:rFonts w:asciiTheme="minorHAnsi" w:hAnsiTheme="minorHAnsi"/>
          <w:w w:val="95"/>
          <w:sz w:val="16"/>
          <w:szCs w:val="16"/>
        </w:rPr>
      </w:pPr>
    </w:p>
    <w:p w:rsidR="00AD2D84" w:rsidRDefault="008738E0">
      <w:pPr>
        <w:pStyle w:val="Akapitzlist"/>
        <w:spacing w:before="62" w:line="240" w:lineRule="auto"/>
        <w:ind w:left="0" w:right="112" w:firstLine="0"/>
        <w:jc w:val="center"/>
        <w:rPr>
          <w:rFonts w:asciiTheme="minorHAnsi" w:hAnsiTheme="minorHAnsi"/>
          <w:b/>
          <w:w w:val="95"/>
        </w:rPr>
      </w:pPr>
      <w:r>
        <w:rPr>
          <w:rFonts w:asciiTheme="minorHAnsi" w:hAnsiTheme="minorHAnsi"/>
          <w:b/>
          <w:w w:val="95"/>
        </w:rPr>
        <w:t xml:space="preserve">§ 2 Przydział środków finansowych </w:t>
      </w:r>
    </w:p>
    <w:p w:rsidR="00AD2D84" w:rsidRDefault="008738E0" w:rsidP="00A2710D">
      <w:pPr>
        <w:pStyle w:val="Akapitzlist"/>
        <w:numPr>
          <w:ilvl w:val="0"/>
          <w:numId w:val="3"/>
        </w:numPr>
        <w:spacing w:before="62" w:line="240" w:lineRule="auto"/>
        <w:ind w:left="284" w:right="112" w:hanging="284"/>
        <w:rPr>
          <w:rFonts w:asciiTheme="minorHAnsi" w:hAnsiTheme="minorHAnsi"/>
          <w:w w:val="95"/>
        </w:rPr>
      </w:pPr>
      <w:r>
        <w:rPr>
          <w:rFonts w:asciiTheme="minorHAnsi" w:hAnsiTheme="minorHAnsi"/>
          <w:w w:val="95"/>
        </w:rPr>
        <w:t>Nowo powstały SKN może otrzymać przez dwa pierwsze lata kalendarzowe swojej działalności do 700,00 zł na każdy rok kalendarzowy, z zastrzeżeniem ust. 2 i 3</w:t>
      </w:r>
      <w:r w:rsidR="0093452F">
        <w:rPr>
          <w:rFonts w:asciiTheme="minorHAnsi" w:hAnsiTheme="minorHAnsi"/>
          <w:w w:val="95"/>
        </w:rPr>
        <w:t>.</w:t>
      </w:r>
    </w:p>
    <w:p w:rsidR="00AD2D84" w:rsidRDefault="008738E0" w:rsidP="00A2710D">
      <w:pPr>
        <w:pStyle w:val="Akapitzlist"/>
        <w:numPr>
          <w:ilvl w:val="0"/>
          <w:numId w:val="3"/>
        </w:numPr>
        <w:spacing w:before="62" w:line="240" w:lineRule="auto"/>
        <w:ind w:left="284" w:right="112" w:hanging="284"/>
        <w:rPr>
          <w:rFonts w:asciiTheme="minorHAnsi" w:hAnsiTheme="minorHAnsi"/>
          <w:w w:val="95"/>
        </w:rPr>
      </w:pPr>
      <w:r>
        <w:rPr>
          <w:rFonts w:asciiTheme="minorHAnsi" w:hAnsiTheme="minorHAnsi"/>
          <w:w w:val="95"/>
        </w:rPr>
        <w:t>W</w:t>
      </w:r>
      <w:r w:rsidR="00A86183">
        <w:rPr>
          <w:rFonts w:asciiTheme="minorHAnsi" w:hAnsiTheme="minorHAnsi"/>
          <w:w w:val="95"/>
        </w:rPr>
        <w:t xml:space="preserve"> </w:t>
      </w:r>
      <w:r>
        <w:rPr>
          <w:rFonts w:asciiTheme="minorHAnsi" w:hAnsiTheme="minorHAnsi"/>
          <w:w w:val="95"/>
        </w:rPr>
        <w:t>drugim</w:t>
      </w:r>
      <w:r w:rsidR="00A86183">
        <w:rPr>
          <w:rFonts w:asciiTheme="minorHAnsi" w:hAnsiTheme="minorHAnsi"/>
          <w:w w:val="95"/>
        </w:rPr>
        <w:t xml:space="preserve"> </w:t>
      </w:r>
      <w:r>
        <w:rPr>
          <w:rFonts w:asciiTheme="minorHAnsi" w:hAnsiTheme="minorHAnsi"/>
          <w:w w:val="95"/>
        </w:rPr>
        <w:t>roku</w:t>
      </w:r>
      <w:r w:rsidR="00A86183">
        <w:rPr>
          <w:rFonts w:asciiTheme="minorHAnsi" w:hAnsiTheme="minorHAnsi"/>
          <w:w w:val="95"/>
        </w:rPr>
        <w:t xml:space="preserve"> </w:t>
      </w:r>
      <w:r>
        <w:rPr>
          <w:rFonts w:asciiTheme="minorHAnsi" w:hAnsiTheme="minorHAnsi"/>
          <w:w w:val="95"/>
        </w:rPr>
        <w:t>kalendarzowym</w:t>
      </w:r>
      <w:r w:rsidR="00A86183">
        <w:rPr>
          <w:rFonts w:asciiTheme="minorHAnsi" w:hAnsiTheme="minorHAnsi"/>
          <w:w w:val="95"/>
        </w:rPr>
        <w:t xml:space="preserve"> </w:t>
      </w:r>
      <w:r>
        <w:rPr>
          <w:rFonts w:asciiTheme="minorHAnsi" w:hAnsiTheme="minorHAnsi"/>
          <w:w w:val="95"/>
        </w:rPr>
        <w:t>działalności</w:t>
      </w:r>
      <w:r w:rsidR="00A86183">
        <w:rPr>
          <w:rFonts w:asciiTheme="minorHAnsi" w:hAnsiTheme="minorHAnsi"/>
          <w:w w:val="95"/>
        </w:rPr>
        <w:t xml:space="preserve"> </w:t>
      </w:r>
      <w:r>
        <w:rPr>
          <w:rFonts w:asciiTheme="minorHAnsi" w:hAnsiTheme="minorHAnsi"/>
          <w:w w:val="95"/>
        </w:rPr>
        <w:t>SKN,</w:t>
      </w:r>
      <w:r w:rsidR="00A86183">
        <w:rPr>
          <w:rFonts w:asciiTheme="minorHAnsi" w:hAnsiTheme="minorHAnsi"/>
          <w:w w:val="95"/>
        </w:rPr>
        <w:t xml:space="preserve"> </w:t>
      </w:r>
      <w:r>
        <w:rPr>
          <w:rFonts w:asciiTheme="minorHAnsi" w:hAnsiTheme="minorHAnsi"/>
          <w:w w:val="95"/>
        </w:rPr>
        <w:t xml:space="preserve">w miejsce kwoty, o której mowa w ust. 1 powyżej, SKN może otrzymać kwotę ustaloną według reguł zawartych w </w:t>
      </w:r>
      <w:r w:rsidR="0074354C">
        <w:rPr>
          <w:rFonts w:asciiTheme="minorHAnsi" w:hAnsiTheme="minorHAnsi"/>
          <w:w w:val="95"/>
        </w:rPr>
        <w:t>§</w:t>
      </w:r>
      <w:r>
        <w:rPr>
          <w:rFonts w:asciiTheme="minorHAnsi" w:hAnsiTheme="minorHAnsi"/>
          <w:w w:val="95"/>
        </w:rPr>
        <w:t xml:space="preserve"> 3, o ile tak obliczona kwota będzie większa niż kwota wymieniona w ust. 1.</w:t>
      </w:r>
    </w:p>
    <w:p w:rsidR="00AD2D84" w:rsidRDefault="008738E0" w:rsidP="00A2710D">
      <w:pPr>
        <w:pStyle w:val="Akapitzlist"/>
        <w:numPr>
          <w:ilvl w:val="0"/>
          <w:numId w:val="3"/>
        </w:numPr>
        <w:spacing w:before="39" w:after="0" w:line="276" w:lineRule="auto"/>
        <w:ind w:left="284" w:right="111" w:hanging="284"/>
      </w:pPr>
      <w:r>
        <w:rPr>
          <w:rFonts w:asciiTheme="minorHAnsi" w:hAnsiTheme="minorHAnsi"/>
          <w:w w:val="95"/>
        </w:rPr>
        <w:t xml:space="preserve">Nowo powstały SKN nie ma prawa do otrzymania ryczałtowego dofinansowania w pierwszym roku działalności, jeśli w tym samym roku kalendarzowym został wydany zakaz prowadzenia działalności, z powodu niezłożenia </w:t>
      </w:r>
      <w:r w:rsidR="003C19E3">
        <w:rPr>
          <w:rFonts w:asciiTheme="minorHAnsi" w:hAnsiTheme="minorHAnsi"/>
          <w:w w:val="95"/>
        </w:rPr>
        <w:t xml:space="preserve">planu działań i </w:t>
      </w:r>
      <w:r>
        <w:rPr>
          <w:rFonts w:asciiTheme="minorHAnsi" w:hAnsiTheme="minorHAnsi"/>
          <w:w w:val="95"/>
        </w:rPr>
        <w:t>sprawozdania, innemu SKN działającemu przy tej samej katedrze. Powyższa zasada nie ma zastosowania, jeśli rezygnacja z prowadzenia działalności przez SKN, działające w</w:t>
      </w:r>
      <w:r w:rsidR="00EA44FF">
        <w:rPr>
          <w:rFonts w:asciiTheme="minorHAnsi" w:hAnsiTheme="minorHAnsi"/>
          <w:w w:val="95"/>
        </w:rPr>
        <w:t> </w:t>
      </w:r>
      <w:r>
        <w:rPr>
          <w:rFonts w:asciiTheme="minorHAnsi" w:hAnsiTheme="minorHAnsi"/>
          <w:w w:val="95"/>
        </w:rPr>
        <w:t>tej samej katedrze, nastąpiła przed terminem złożeni</w:t>
      </w:r>
      <w:r w:rsidR="003C19E3">
        <w:rPr>
          <w:rFonts w:asciiTheme="minorHAnsi" w:hAnsiTheme="minorHAnsi"/>
          <w:w w:val="95"/>
        </w:rPr>
        <w:t>a</w:t>
      </w:r>
      <w:r>
        <w:rPr>
          <w:rFonts w:asciiTheme="minorHAnsi" w:hAnsiTheme="minorHAnsi"/>
          <w:w w:val="95"/>
        </w:rPr>
        <w:t xml:space="preserve"> sprawozdania</w:t>
      </w:r>
      <w:r>
        <w:t>.</w:t>
      </w:r>
    </w:p>
    <w:p w:rsidR="00AD2D84" w:rsidRDefault="008738E0" w:rsidP="00A2710D">
      <w:pPr>
        <w:pStyle w:val="Akapitzlist"/>
        <w:numPr>
          <w:ilvl w:val="0"/>
          <w:numId w:val="4"/>
        </w:numPr>
        <w:spacing w:before="62" w:line="240" w:lineRule="auto"/>
        <w:ind w:left="284" w:right="112" w:hanging="284"/>
        <w:rPr>
          <w:rFonts w:asciiTheme="minorHAnsi" w:hAnsiTheme="minorHAnsi"/>
          <w:w w:val="95"/>
        </w:rPr>
      </w:pPr>
      <w:r>
        <w:rPr>
          <w:rFonts w:asciiTheme="minorHAnsi" w:hAnsiTheme="minorHAnsi"/>
          <w:w w:val="95"/>
        </w:rPr>
        <w:t xml:space="preserve">Na kolejne lata kalendarzowe działalności, SKN otrzyma środki finansowe w wysokości będącej iloczynem sumy punktów przyznanych temu SKN za osiągnięcia uzyskane przez jego członków w poprzednim roku kalendarzowym i wartości pieniężnej jednego punktu ustalonego według § 3 niniejszych Reguł. </w:t>
      </w:r>
    </w:p>
    <w:p w:rsidR="00AD2D84" w:rsidRDefault="008738E0" w:rsidP="00A2710D">
      <w:pPr>
        <w:pStyle w:val="Akapitzlist"/>
        <w:numPr>
          <w:ilvl w:val="0"/>
          <w:numId w:val="4"/>
        </w:numPr>
        <w:spacing w:before="62" w:line="240" w:lineRule="auto"/>
        <w:ind w:left="284" w:right="112" w:hanging="284"/>
        <w:rPr>
          <w:rFonts w:asciiTheme="minorHAnsi" w:hAnsiTheme="minorHAnsi"/>
          <w:w w:val="95"/>
        </w:rPr>
      </w:pPr>
      <w:r>
        <w:rPr>
          <w:rFonts w:asciiTheme="minorHAnsi" w:hAnsiTheme="minorHAnsi"/>
          <w:w w:val="95"/>
        </w:rPr>
        <w:t>Ogólne zasady ubiegania się przez SKN o przydział środków finansowych, jako organizacji studenckiej, zawarte zostały w § 3 Zasad.</w:t>
      </w:r>
      <w:r w:rsidR="00A86183">
        <w:rPr>
          <w:rFonts w:asciiTheme="minorHAnsi" w:hAnsiTheme="minorHAnsi"/>
          <w:w w:val="95"/>
        </w:rPr>
        <w:t xml:space="preserve"> </w:t>
      </w:r>
    </w:p>
    <w:p w:rsidR="00AD2D84" w:rsidRDefault="00AD2D84">
      <w:pPr>
        <w:pStyle w:val="Akapitzlist"/>
        <w:spacing w:before="62" w:line="240" w:lineRule="auto"/>
        <w:ind w:left="786" w:right="112" w:firstLine="0"/>
        <w:rPr>
          <w:rFonts w:asciiTheme="minorHAnsi" w:hAnsiTheme="minorHAnsi"/>
          <w:w w:val="95"/>
          <w:sz w:val="16"/>
          <w:szCs w:val="16"/>
        </w:rPr>
      </w:pPr>
    </w:p>
    <w:p w:rsidR="00AD2D84" w:rsidRDefault="008738E0">
      <w:pPr>
        <w:pStyle w:val="Akapitzlist"/>
        <w:spacing w:line="240" w:lineRule="auto"/>
        <w:ind w:left="0" w:right="113" w:firstLine="0"/>
        <w:jc w:val="center"/>
        <w:rPr>
          <w:rFonts w:asciiTheme="minorHAnsi" w:hAnsiTheme="minorHAnsi"/>
          <w:b/>
          <w:w w:val="95"/>
        </w:rPr>
      </w:pPr>
      <w:r>
        <w:rPr>
          <w:rFonts w:asciiTheme="minorHAnsi" w:hAnsiTheme="minorHAnsi"/>
          <w:b/>
          <w:w w:val="95"/>
        </w:rPr>
        <w:t xml:space="preserve">§ 3 Osiągnięcia i punktacja </w:t>
      </w:r>
    </w:p>
    <w:p w:rsidR="00AD2D84" w:rsidRDefault="008738E0">
      <w:pPr>
        <w:pStyle w:val="Akapitzlist"/>
        <w:numPr>
          <w:ilvl w:val="0"/>
          <w:numId w:val="5"/>
        </w:numPr>
        <w:spacing w:before="62" w:line="240" w:lineRule="auto"/>
        <w:ind w:left="284" w:right="112" w:hanging="284"/>
        <w:rPr>
          <w:rFonts w:asciiTheme="minorHAnsi" w:hAnsiTheme="minorHAnsi"/>
          <w:w w:val="95"/>
        </w:rPr>
      </w:pPr>
      <w:r>
        <w:rPr>
          <w:rFonts w:asciiTheme="minorHAnsi" w:hAnsiTheme="minorHAnsi"/>
          <w:w w:val="95"/>
        </w:rPr>
        <w:t>Rodzaj osiągnięć i punktacja:</w:t>
      </w:r>
    </w:p>
    <w:p w:rsidR="00AD2D84" w:rsidRDefault="008738E0">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publikacja naukowa, rozumiana jako artykuł recenzowany:</w:t>
      </w:r>
    </w:p>
    <w:p w:rsidR="00AD2D84" w:rsidRDefault="008738E0">
      <w:pPr>
        <w:pStyle w:val="Akapitzlist"/>
        <w:numPr>
          <w:ilvl w:val="0"/>
          <w:numId w:val="7"/>
        </w:numPr>
        <w:spacing w:before="62" w:line="240" w:lineRule="auto"/>
        <w:ind w:left="851" w:right="112" w:hanging="284"/>
        <w:rPr>
          <w:rFonts w:asciiTheme="minorHAnsi" w:hAnsiTheme="minorHAnsi"/>
          <w:w w:val="95"/>
        </w:rPr>
      </w:pPr>
      <w:r>
        <w:rPr>
          <w:rFonts w:asciiTheme="minorHAnsi" w:hAnsiTheme="minorHAnsi"/>
          <w:w w:val="95"/>
        </w:rPr>
        <w:t>jeżeli publikacja ma miejsce w czasopiśmie znajdującym się w wykazie czasopism naukowych ministerstwa właściwego ds. szkolnictwa wyższego w dniu 1 października roku sprawozdawczego, stosuje się punktację przewidzianą na tej liście, przy czym punktacja jest dzielona przez liczbę współautorów. Liczba punktów za publikację stanowi sumę punktów przypadających na autorów będących członkami SKN, jednak nie mniej niż 5,</w:t>
      </w:r>
    </w:p>
    <w:p w:rsidR="00AD2D84" w:rsidRDefault="008738E0">
      <w:pPr>
        <w:pStyle w:val="Akapitzlist"/>
        <w:numPr>
          <w:ilvl w:val="0"/>
          <w:numId w:val="7"/>
        </w:numPr>
        <w:spacing w:before="62" w:line="240" w:lineRule="auto"/>
        <w:ind w:left="851" w:right="112" w:hanging="284"/>
        <w:rPr>
          <w:rFonts w:asciiTheme="minorHAnsi" w:hAnsiTheme="minorHAnsi"/>
          <w:w w:val="95"/>
        </w:rPr>
      </w:pPr>
      <w:r>
        <w:rPr>
          <w:rFonts w:asciiTheme="minorHAnsi" w:hAnsiTheme="minorHAnsi"/>
          <w:w w:val="95"/>
        </w:rPr>
        <w:t>jeżeli publikacja ma miejsce w innym czasopiśmie niż wskazane wyżej, przyznaje się 5 punktów;</w:t>
      </w:r>
    </w:p>
    <w:p w:rsidR="00AD2D84" w:rsidRDefault="008738E0">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zorganizowanie konferencji międzynarodowej - 5 punktów, o ile:</w:t>
      </w:r>
    </w:p>
    <w:p w:rsidR="00AD2D84" w:rsidRDefault="008738E0">
      <w:pPr>
        <w:pStyle w:val="Akapitzlist"/>
        <w:numPr>
          <w:ilvl w:val="0"/>
          <w:numId w:val="8"/>
        </w:numPr>
        <w:spacing w:before="62" w:line="240" w:lineRule="auto"/>
        <w:ind w:left="851" w:right="112" w:hanging="284"/>
        <w:rPr>
          <w:rFonts w:asciiTheme="minorHAnsi" w:hAnsiTheme="minorHAnsi"/>
          <w:w w:val="95"/>
        </w:rPr>
      </w:pPr>
      <w:r>
        <w:rPr>
          <w:rFonts w:asciiTheme="minorHAnsi" w:hAnsiTheme="minorHAnsi"/>
          <w:w w:val="95"/>
        </w:rPr>
        <w:t>udział SKN w zorganizowaniu konferencji został potwierdzony wpisaniem go na listę organizatorów,</w:t>
      </w:r>
    </w:p>
    <w:p w:rsidR="00AD2D84" w:rsidRDefault="008738E0">
      <w:pPr>
        <w:pStyle w:val="Akapitzlist"/>
        <w:numPr>
          <w:ilvl w:val="0"/>
          <w:numId w:val="8"/>
        </w:numPr>
        <w:spacing w:before="62" w:line="240" w:lineRule="auto"/>
        <w:ind w:left="851" w:right="112" w:hanging="284"/>
        <w:rPr>
          <w:rFonts w:asciiTheme="minorHAnsi" w:hAnsiTheme="minorHAnsi"/>
          <w:w w:val="95"/>
        </w:rPr>
      </w:pPr>
      <w:r>
        <w:rPr>
          <w:rFonts w:asciiTheme="minorHAnsi" w:hAnsiTheme="minorHAnsi"/>
          <w:w w:val="95"/>
        </w:rPr>
        <w:t>konferencja została przeprowadzona za granicą lub w kraju i co najmniej 1/3 czynnych uczestników prezentujących referaty reprezentowało zagraniczne ośrodki naukowe;</w:t>
      </w:r>
    </w:p>
    <w:p w:rsidR="00AD2D84" w:rsidRDefault="008738E0">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 xml:space="preserve">stworzenie programu lub aplikacji komputerowej o charakterze projektu naukowego - 5 punktów, o ile: </w:t>
      </w:r>
    </w:p>
    <w:p w:rsidR="00AD2D84" w:rsidRDefault="008738E0">
      <w:pPr>
        <w:pStyle w:val="Akapitzlist"/>
        <w:numPr>
          <w:ilvl w:val="0"/>
          <w:numId w:val="9"/>
        </w:numPr>
        <w:spacing w:before="62" w:line="240" w:lineRule="auto"/>
        <w:ind w:left="851" w:right="112" w:hanging="284"/>
        <w:rPr>
          <w:rFonts w:asciiTheme="minorHAnsi" w:hAnsiTheme="minorHAnsi"/>
          <w:w w:val="95"/>
        </w:rPr>
      </w:pPr>
      <w:r>
        <w:rPr>
          <w:rFonts w:asciiTheme="minorHAnsi" w:hAnsiTheme="minorHAnsi"/>
          <w:w w:val="95"/>
        </w:rPr>
        <w:t>oceny programu lub aplikacji komputerowej dokonał Dyrektor Centrum Informatyki UEP,</w:t>
      </w:r>
    </w:p>
    <w:p w:rsidR="00AD2D84" w:rsidRDefault="008738E0">
      <w:pPr>
        <w:pStyle w:val="Akapitzlist"/>
        <w:numPr>
          <w:ilvl w:val="0"/>
          <w:numId w:val="9"/>
        </w:numPr>
        <w:spacing w:before="62" w:line="240" w:lineRule="auto"/>
        <w:ind w:left="851" w:right="112" w:hanging="284"/>
        <w:rPr>
          <w:rFonts w:asciiTheme="minorHAnsi" w:hAnsiTheme="minorHAnsi"/>
          <w:w w:val="95"/>
        </w:rPr>
      </w:pPr>
      <w:r>
        <w:rPr>
          <w:rFonts w:asciiTheme="minorHAnsi" w:hAnsiTheme="minorHAnsi"/>
          <w:w w:val="95"/>
        </w:rPr>
        <w:t>SKN dołączyło opinię Dyrektora CI do sprawozdania;</w:t>
      </w:r>
    </w:p>
    <w:p w:rsidR="00AD2D84" w:rsidRDefault="008738E0" w:rsidP="00A2710D">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udział w konferencji z wygłoszeniem referatu -</w:t>
      </w:r>
      <w:r w:rsidR="00A86183">
        <w:rPr>
          <w:rFonts w:asciiTheme="minorHAnsi" w:hAnsiTheme="minorHAnsi"/>
          <w:w w:val="95"/>
        </w:rPr>
        <w:t xml:space="preserve"> </w:t>
      </w:r>
      <w:r>
        <w:rPr>
          <w:rFonts w:asciiTheme="minorHAnsi" w:hAnsiTheme="minorHAnsi"/>
          <w:w w:val="95"/>
        </w:rPr>
        <w:t>3 punkty za referat;</w:t>
      </w:r>
    </w:p>
    <w:p w:rsidR="00AD2D84" w:rsidRDefault="008738E0" w:rsidP="00A2710D">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zorganizowanie konferencji krajowej - 3 punkty, o ile udział SKN w zorganizowaniu konferencji został potwierdzony wpisaniem SKN na listę organizatorów;</w:t>
      </w:r>
    </w:p>
    <w:p w:rsidR="00AD2D84" w:rsidRDefault="008738E0" w:rsidP="00A2710D">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zorganizowanie otwartego seminarium - 1 punkt, przy czym za otwarte seminarium uznaje się ogłoszony i otwarty dla społeczności UEP wykład zaproszonego gościa;</w:t>
      </w:r>
    </w:p>
    <w:p w:rsidR="00AD2D84" w:rsidRDefault="008738E0" w:rsidP="00A2710D">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zorganizowanie pozanaukowego przedsięwzięcia na rzecz UEP - 1 punkt, przy czym za pozanaukowe przedsięwzięcie uznaje się w szczególności: „Drzwi otwarte UEP”, promocję działalności studenckich kół naukowych w UEP (np. targi SKN), promocję UEP poza Uczelnią, działalność na rzecz klas akademickich i patronackich;</w:t>
      </w:r>
    </w:p>
    <w:p w:rsidR="00AD2D84" w:rsidRDefault="008738E0" w:rsidP="00A2710D">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zorganizowanie przedsięwzięcia popularyzującego naukę - 1 punkt, przy czym za takie wydarzenia uznaje się: festiwale nauki, noce naukowców, konkursy dotyczące nauki,</w:t>
      </w:r>
      <w:r w:rsidR="00A86183">
        <w:rPr>
          <w:rFonts w:asciiTheme="minorHAnsi" w:hAnsiTheme="minorHAnsi"/>
          <w:w w:val="95"/>
        </w:rPr>
        <w:t xml:space="preserve"> </w:t>
      </w:r>
      <w:r>
        <w:rPr>
          <w:rFonts w:asciiTheme="minorHAnsi" w:hAnsiTheme="minorHAnsi"/>
          <w:w w:val="95"/>
        </w:rPr>
        <w:t>itp.;</w:t>
      </w:r>
    </w:p>
    <w:p w:rsidR="00AD2D84" w:rsidRDefault="008738E0" w:rsidP="00A2710D">
      <w:pPr>
        <w:pStyle w:val="Akapitzlist"/>
        <w:numPr>
          <w:ilvl w:val="0"/>
          <w:numId w:val="6"/>
        </w:numPr>
        <w:spacing w:before="62" w:line="240" w:lineRule="auto"/>
        <w:ind w:left="567" w:right="112" w:hanging="283"/>
        <w:rPr>
          <w:rFonts w:asciiTheme="minorHAnsi" w:hAnsiTheme="minorHAnsi"/>
          <w:w w:val="95"/>
        </w:rPr>
      </w:pPr>
      <w:r>
        <w:rPr>
          <w:rFonts w:asciiTheme="minorHAnsi" w:hAnsiTheme="minorHAnsi"/>
          <w:w w:val="95"/>
        </w:rPr>
        <w:t>zrealizowanie projektu naukowo-badawczego albo projektu rozwojowego (zrealizowanych we współpracy z otoczeniem społeczno-gospodarczym) - 2 punkty.</w:t>
      </w:r>
    </w:p>
    <w:p w:rsidR="00AD2D84" w:rsidRDefault="008738E0" w:rsidP="00A2710D">
      <w:pPr>
        <w:pStyle w:val="Akapitzlist"/>
        <w:numPr>
          <w:ilvl w:val="0"/>
          <w:numId w:val="5"/>
        </w:numPr>
        <w:spacing w:before="62" w:line="240" w:lineRule="auto"/>
        <w:ind w:left="284" w:right="112" w:hanging="284"/>
        <w:rPr>
          <w:rFonts w:asciiTheme="minorHAnsi" w:hAnsiTheme="minorHAnsi"/>
          <w:w w:val="95"/>
        </w:rPr>
      </w:pPr>
      <w:r>
        <w:rPr>
          <w:rFonts w:asciiTheme="minorHAnsi" w:hAnsiTheme="minorHAnsi"/>
          <w:w w:val="95"/>
        </w:rPr>
        <w:t xml:space="preserve">Punkty przyznawane są tylko za osiągnięcia zaistniałe w ramach działalności danego </w:t>
      </w:r>
      <w:r w:rsidR="0093452F">
        <w:rPr>
          <w:rFonts w:asciiTheme="minorHAnsi" w:hAnsiTheme="minorHAnsi"/>
          <w:w w:val="95"/>
        </w:rPr>
        <w:t>SKN</w:t>
      </w:r>
      <w:r>
        <w:rPr>
          <w:rFonts w:asciiTheme="minorHAnsi" w:hAnsiTheme="minorHAnsi"/>
          <w:w w:val="95"/>
        </w:rPr>
        <w:t xml:space="preserve"> i związane z</w:t>
      </w:r>
      <w:r w:rsidR="00A2710D">
        <w:rPr>
          <w:rFonts w:asciiTheme="minorHAnsi" w:hAnsiTheme="minorHAnsi"/>
          <w:w w:val="95"/>
        </w:rPr>
        <w:t> </w:t>
      </w:r>
      <w:r>
        <w:rPr>
          <w:rFonts w:asciiTheme="minorHAnsi" w:hAnsiTheme="minorHAnsi"/>
          <w:w w:val="95"/>
        </w:rPr>
        <w:t>przedmiotem działalności określonym w statucie</w:t>
      </w:r>
      <w:r w:rsidR="0093452F">
        <w:rPr>
          <w:rFonts w:asciiTheme="minorHAnsi" w:hAnsiTheme="minorHAnsi"/>
          <w:w w:val="95"/>
        </w:rPr>
        <w:t xml:space="preserve"> lub </w:t>
      </w:r>
      <w:r>
        <w:rPr>
          <w:rFonts w:asciiTheme="minorHAnsi" w:hAnsiTheme="minorHAnsi"/>
          <w:w w:val="95"/>
        </w:rPr>
        <w:t>regulaminie danego SKN.</w:t>
      </w:r>
    </w:p>
    <w:p w:rsidR="00AD2D84" w:rsidRDefault="008738E0" w:rsidP="00A2710D">
      <w:pPr>
        <w:pStyle w:val="Akapitzlist"/>
        <w:numPr>
          <w:ilvl w:val="0"/>
          <w:numId w:val="5"/>
        </w:numPr>
        <w:spacing w:before="62" w:line="240" w:lineRule="auto"/>
        <w:ind w:left="284" w:right="112" w:hanging="284"/>
        <w:rPr>
          <w:rFonts w:asciiTheme="minorHAnsi" w:hAnsiTheme="minorHAnsi"/>
          <w:w w:val="95"/>
        </w:rPr>
      </w:pPr>
      <w:r>
        <w:rPr>
          <w:rFonts w:asciiTheme="minorHAnsi" w:hAnsiTheme="minorHAnsi"/>
          <w:w w:val="95"/>
        </w:rPr>
        <w:t xml:space="preserve">Liczba punktów za osiągnięcie uzyskane przez członków danego SKN, w ciągu roku kalendarzowego poprzedzającego rok, na który przyznawane są środki finansowe, sumuje się na rzecz jednego SKN, co oznacza, że jeżeli dana osoba jest członkiem więcej niż </w:t>
      </w:r>
      <w:bookmarkStart w:id="0" w:name="_GoBack"/>
      <w:bookmarkEnd w:id="0"/>
      <w:r>
        <w:rPr>
          <w:rFonts w:asciiTheme="minorHAnsi" w:hAnsiTheme="minorHAnsi"/>
          <w:w w:val="95"/>
        </w:rPr>
        <w:t>jednego SKN, to punkty za jej osiągnięcie mogą być przypisane tylko jednemu SKN.</w:t>
      </w:r>
    </w:p>
    <w:p w:rsidR="00AD2D84" w:rsidRDefault="008738E0" w:rsidP="00A2710D">
      <w:pPr>
        <w:pStyle w:val="Akapitzlist"/>
        <w:numPr>
          <w:ilvl w:val="0"/>
          <w:numId w:val="5"/>
        </w:numPr>
        <w:spacing w:before="62" w:line="240" w:lineRule="auto"/>
        <w:ind w:left="284" w:right="112" w:hanging="284"/>
        <w:rPr>
          <w:rFonts w:asciiTheme="minorHAnsi" w:hAnsiTheme="minorHAnsi"/>
          <w:w w:val="95"/>
        </w:rPr>
      </w:pPr>
      <w:r>
        <w:rPr>
          <w:rFonts w:asciiTheme="minorHAnsi" w:hAnsiTheme="minorHAnsi"/>
          <w:w w:val="95"/>
        </w:rPr>
        <w:t>Zasady wyliczania wartości pieniężnej jednego punktu:</w:t>
      </w:r>
    </w:p>
    <w:p w:rsidR="00AD2D84" w:rsidRDefault="008738E0" w:rsidP="00A2710D">
      <w:pPr>
        <w:pStyle w:val="Akapitzlist"/>
        <w:numPr>
          <w:ilvl w:val="0"/>
          <w:numId w:val="10"/>
        </w:numPr>
        <w:spacing w:before="62" w:line="240" w:lineRule="auto"/>
        <w:ind w:left="567" w:right="112" w:hanging="283"/>
        <w:rPr>
          <w:rFonts w:asciiTheme="minorHAnsi" w:hAnsiTheme="minorHAnsi"/>
          <w:w w:val="95"/>
        </w:rPr>
      </w:pPr>
      <w:r>
        <w:rPr>
          <w:rFonts w:asciiTheme="minorHAnsi" w:hAnsiTheme="minorHAnsi"/>
          <w:w w:val="95"/>
        </w:rPr>
        <w:t>od całkowitej wartości środków przeznaczonych na działalność SKN, o których mowa w § 1 niniejszych Reguł odejmuje się sumę środków przyznanych na podstawie § 2 ust. 1</w:t>
      </w:r>
      <w:r w:rsidR="00A86183">
        <w:rPr>
          <w:rFonts w:asciiTheme="minorHAnsi" w:hAnsiTheme="minorHAnsi"/>
          <w:w w:val="95"/>
        </w:rPr>
        <w:t xml:space="preserve"> </w:t>
      </w:r>
      <w:r>
        <w:rPr>
          <w:rFonts w:asciiTheme="minorHAnsi" w:hAnsiTheme="minorHAnsi"/>
          <w:w w:val="95"/>
        </w:rPr>
        <w:t>niniejszych Reguł;</w:t>
      </w:r>
    </w:p>
    <w:p w:rsidR="00AD2D84" w:rsidRDefault="008738E0" w:rsidP="00A2710D">
      <w:pPr>
        <w:pStyle w:val="Akapitzlist"/>
        <w:numPr>
          <w:ilvl w:val="0"/>
          <w:numId w:val="10"/>
        </w:numPr>
        <w:spacing w:before="62" w:line="240" w:lineRule="auto"/>
        <w:ind w:left="567" w:right="112" w:hanging="283"/>
        <w:rPr>
          <w:rFonts w:asciiTheme="minorHAnsi" w:hAnsiTheme="minorHAnsi"/>
          <w:w w:val="95"/>
        </w:rPr>
      </w:pPr>
      <w:r>
        <w:rPr>
          <w:rFonts w:asciiTheme="minorHAnsi" w:hAnsiTheme="minorHAnsi"/>
          <w:w w:val="95"/>
        </w:rPr>
        <w:t>kwotę wyliczoną według pkt 1 dzieli się przez sumę punktów uzyskanych przez wszystkie SKN, które spełniły warunek wymieniony w § 1 ust. 2 niniejszych Reguł, przy czym do tej sumy punktów nie wlicza się punktów osiągniętych przez członków tych SKN, które wykazały punktowane osiągnięcia, ale otrzymały dofinansowanie kwotowe na podstawie § 2 ust. 1 niniejszych Reguł.</w:t>
      </w:r>
    </w:p>
    <w:p w:rsidR="009C7EB9" w:rsidRDefault="009C7EB9">
      <w:pPr>
        <w:rPr>
          <w:w w:val="95"/>
        </w:rPr>
      </w:pPr>
    </w:p>
    <w:sectPr w:rsidR="009C7EB9" w:rsidSect="00AD2D84">
      <w:footerReference w:type="default" r:id="rId9"/>
      <w:pgSz w:w="11910" w:h="16840"/>
      <w:pgMar w:top="660" w:right="1300" w:bottom="1040" w:left="1300" w:header="0" w:footer="8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C2" w:rsidRDefault="000627C2">
      <w:pPr>
        <w:spacing w:line="240" w:lineRule="auto"/>
      </w:pPr>
      <w:r>
        <w:separator/>
      </w:r>
    </w:p>
  </w:endnote>
  <w:endnote w:type="continuationSeparator" w:id="0">
    <w:p w:rsidR="000627C2" w:rsidRDefault="00062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84" w:rsidRDefault="00C6494D">
    <w:pPr>
      <w:pStyle w:val="Tekstpodstawowy"/>
      <w:spacing w:line="14" w:lineRule="auto"/>
      <w:ind w:left="0" w:firstLine="0"/>
      <w:jc w:val="left"/>
      <w:rPr>
        <w:sz w:val="20"/>
      </w:rPr>
    </w:pPr>
    <w:r>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70.5pt;margin-top:788.35pt;width:54.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" filled="f" stroked="f">
          <v:textbox inset="0,0,0,0">
            <w:txbxContent>
              <w:p w:rsidR="00AD2D84" w:rsidRDefault="008738E0">
                <w:pPr>
                  <w:spacing w:line="234" w:lineRule="exact"/>
                  <w:ind w:left="20"/>
                  <w:rPr>
                    <w:rFonts w:asciiTheme="minorHAnsi" w:hAnsiTheme="minorHAnsi"/>
                    <w:b/>
                    <w:sz w:val="16"/>
                    <w:szCs w:val="16"/>
                  </w:rPr>
                </w:pPr>
                <w:r>
                  <w:rPr>
                    <w:rFonts w:asciiTheme="minorHAnsi" w:hAnsiTheme="minorHAnsi"/>
                    <w:w w:val="95"/>
                    <w:sz w:val="16"/>
                    <w:szCs w:val="16"/>
                  </w:rPr>
                  <w:t>Strona</w:t>
                </w:r>
                <w:r>
                  <w:rPr>
                    <w:rFonts w:asciiTheme="minorHAnsi" w:hAnsiTheme="minorHAnsi"/>
                    <w:spacing w:val="-29"/>
                    <w:w w:val="95"/>
                    <w:sz w:val="16"/>
                    <w:szCs w:val="16"/>
                  </w:rPr>
                  <w:t xml:space="preserve"> </w:t>
                </w:r>
                <w:r w:rsidR="0013271A">
                  <w:rPr>
                    <w:rFonts w:asciiTheme="minorHAnsi" w:hAnsiTheme="minorHAnsi"/>
                    <w:sz w:val="16"/>
                    <w:szCs w:val="16"/>
                  </w:rPr>
                  <w:fldChar w:fldCharType="begin"/>
                </w:r>
                <w:r>
                  <w:rPr>
                    <w:rFonts w:asciiTheme="minorHAnsi" w:hAnsiTheme="minorHAnsi"/>
                    <w:b/>
                    <w:w w:val="95"/>
                    <w:sz w:val="16"/>
                    <w:szCs w:val="16"/>
                  </w:rPr>
                  <w:instrText xml:space="preserve"> PAGE </w:instrText>
                </w:r>
                <w:r w:rsidR="0013271A">
                  <w:rPr>
                    <w:rFonts w:asciiTheme="minorHAnsi" w:hAnsiTheme="minorHAnsi"/>
                    <w:sz w:val="16"/>
                    <w:szCs w:val="16"/>
                  </w:rPr>
                  <w:fldChar w:fldCharType="separate"/>
                </w:r>
                <w:r w:rsidR="00C6494D">
                  <w:rPr>
                    <w:rFonts w:asciiTheme="minorHAnsi" w:hAnsiTheme="minorHAnsi"/>
                    <w:b/>
                    <w:noProof/>
                    <w:w w:val="95"/>
                    <w:sz w:val="16"/>
                    <w:szCs w:val="16"/>
                  </w:rPr>
                  <w:t>2</w:t>
                </w:r>
                <w:r w:rsidR="0013271A">
                  <w:rPr>
                    <w:rFonts w:asciiTheme="minorHAnsi" w:hAnsiTheme="minorHAnsi"/>
                    <w:sz w:val="16"/>
                    <w:szCs w:val="16"/>
                  </w:rPr>
                  <w:fldChar w:fldCharType="end"/>
                </w:r>
                <w:r>
                  <w:rPr>
                    <w:rFonts w:asciiTheme="minorHAnsi" w:hAnsiTheme="minorHAnsi"/>
                    <w:b/>
                    <w:spacing w:val="-32"/>
                    <w:w w:val="95"/>
                    <w:sz w:val="16"/>
                    <w:szCs w:val="16"/>
                  </w:rPr>
                  <w:t xml:space="preserve"> </w:t>
                </w:r>
                <w:r>
                  <w:rPr>
                    <w:rFonts w:asciiTheme="minorHAnsi" w:hAnsiTheme="minorHAnsi"/>
                    <w:w w:val="95"/>
                    <w:sz w:val="16"/>
                    <w:szCs w:val="16"/>
                  </w:rPr>
                  <w:t>z</w:t>
                </w:r>
                <w:r>
                  <w:rPr>
                    <w:rFonts w:asciiTheme="minorHAnsi" w:hAnsiTheme="minorHAnsi"/>
                    <w:spacing w:val="-28"/>
                    <w:w w:val="95"/>
                    <w:sz w:val="16"/>
                    <w:szCs w:val="16"/>
                  </w:rPr>
                  <w:t xml:space="preserve"> </w:t>
                </w:r>
                <w:r>
                  <w:rPr>
                    <w:rFonts w:asciiTheme="minorHAnsi" w:hAnsiTheme="minorHAnsi"/>
                    <w:b/>
                    <w:w w:val="95"/>
                    <w:sz w:val="16"/>
                    <w:szCs w:val="16"/>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C2" w:rsidRDefault="000627C2">
      <w:pPr>
        <w:spacing w:after="0"/>
      </w:pPr>
      <w:r>
        <w:separator/>
      </w:r>
    </w:p>
  </w:footnote>
  <w:footnote w:type="continuationSeparator" w:id="0">
    <w:p w:rsidR="000627C2" w:rsidRDefault="000627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0B9"/>
    <w:multiLevelType w:val="multilevel"/>
    <w:tmpl w:val="04AC60B9"/>
    <w:lvl w:ilvl="0">
      <w:start w:val="1"/>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 w15:restartNumberingAfterBreak="0">
    <w:nsid w:val="0CB940DB"/>
    <w:multiLevelType w:val="multilevel"/>
    <w:tmpl w:val="0CB940DB"/>
    <w:lvl w:ilvl="0">
      <w:start w:val="1"/>
      <w:numFmt w:val="decimal"/>
      <w:lvlText w:val="%1."/>
      <w:lvlJc w:val="left"/>
      <w:pPr>
        <w:ind w:left="1506" w:hanging="360"/>
      </w:pPr>
      <w:rPr>
        <w:rFonts w:hint="default"/>
      </w:rPr>
    </w:lvl>
    <w:lvl w:ilvl="1">
      <w:start w:val="1"/>
      <w:numFmt w:val="decimal"/>
      <w:lvlText w:val="%2)"/>
      <w:lvlJc w:val="left"/>
      <w:pPr>
        <w:ind w:left="2226" w:hanging="360"/>
      </w:pPr>
      <w:rPr>
        <w:rFonts w:hint="default"/>
      </w:rPr>
    </w:lvl>
    <w:lvl w:ilvl="2">
      <w:start w:val="1"/>
      <w:numFmt w:val="decimal"/>
      <w:lvlText w:val="%3)"/>
      <w:lvlJc w:val="left"/>
      <w:pPr>
        <w:ind w:left="3126" w:hanging="360"/>
      </w:pPr>
      <w:rPr>
        <w:rFonts w:asciiTheme="minorHAnsi" w:eastAsia="Arial" w:hAnsiTheme="minorHAnsi" w:cs="Arial"/>
      </w:r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 w15:restartNumberingAfterBreak="0">
    <w:nsid w:val="26F83BD4"/>
    <w:multiLevelType w:val="multilevel"/>
    <w:tmpl w:val="26F83BD4"/>
    <w:lvl w:ilvl="0">
      <w:start w:val="1"/>
      <w:numFmt w:val="decimal"/>
      <w:lvlText w:val="%1."/>
      <w:lvlJc w:val="left"/>
      <w:pPr>
        <w:ind w:left="1146" w:hanging="360"/>
      </w:pPr>
      <w:rPr>
        <w:rFonts w:ascii="Calibri" w:hAnsi="Calibri" w:cs="Calibri"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2C031F1C"/>
    <w:multiLevelType w:val="multilevel"/>
    <w:tmpl w:val="2C031F1C"/>
    <w:lvl w:ilvl="0">
      <w:start w:val="1"/>
      <w:numFmt w:val="lowerLetter"/>
      <w:lvlText w:val="%1)"/>
      <w:lvlJc w:val="left"/>
      <w:pPr>
        <w:ind w:left="2226" w:hanging="360"/>
      </w:pPr>
      <w:rPr>
        <w:rFonts w:asciiTheme="minorHAnsi" w:eastAsia="Arial" w:hAnsiTheme="minorHAnsi" w:cs="Arial"/>
      </w:rPr>
    </w:lvl>
    <w:lvl w:ilvl="1">
      <w:start w:val="1"/>
      <w:numFmt w:val="decimal"/>
      <w:lvlText w:val="%2)"/>
      <w:lvlJc w:val="left"/>
      <w:pPr>
        <w:ind w:left="2946" w:hanging="360"/>
      </w:pPr>
    </w:lvl>
    <w:lvl w:ilvl="2">
      <w:start w:val="1"/>
      <w:numFmt w:val="lowerLetter"/>
      <w:lvlText w:val="%3)"/>
      <w:lvlJc w:val="left"/>
      <w:pPr>
        <w:ind w:left="1070" w:hanging="360"/>
      </w:pPr>
      <w:rPr>
        <w:rFonts w:ascii="Calibri Light" w:eastAsia="Arial" w:hAnsi="Calibri Light" w:cs="Arial"/>
      </w:r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4" w15:restartNumberingAfterBreak="0">
    <w:nsid w:val="339641EB"/>
    <w:multiLevelType w:val="multilevel"/>
    <w:tmpl w:val="339641EB"/>
    <w:lvl w:ilvl="0">
      <w:start w:val="1"/>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5" w15:restartNumberingAfterBreak="0">
    <w:nsid w:val="391E724D"/>
    <w:multiLevelType w:val="multilevel"/>
    <w:tmpl w:val="391E724D"/>
    <w:lvl w:ilvl="0">
      <w:start w:val="1"/>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 w15:restartNumberingAfterBreak="0">
    <w:nsid w:val="3B236216"/>
    <w:multiLevelType w:val="multilevel"/>
    <w:tmpl w:val="3B236216"/>
    <w:lvl w:ilvl="0">
      <w:start w:val="1"/>
      <w:numFmt w:val="decimal"/>
      <w:lvlText w:val="%1."/>
      <w:lvlJc w:val="left"/>
      <w:pPr>
        <w:ind w:left="786" w:hanging="360"/>
      </w:pPr>
      <w:rPr>
        <w:rFonts w:asciiTheme="minorHAnsi" w:hAnsiTheme="minorHAnsi" w:hint="default"/>
        <w:b w:val="0"/>
        <w:w w:val="95"/>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3A55F1A"/>
    <w:multiLevelType w:val="multilevel"/>
    <w:tmpl w:val="43A55F1A"/>
    <w:lvl w:ilvl="0">
      <w:start w:val="2"/>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8" w15:restartNumberingAfterBreak="0">
    <w:nsid w:val="486517D2"/>
    <w:multiLevelType w:val="multilevel"/>
    <w:tmpl w:val="486517D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5CC673ED"/>
    <w:multiLevelType w:val="multilevel"/>
    <w:tmpl w:val="5CC673ED"/>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6A870288"/>
    <w:multiLevelType w:val="multilevel"/>
    <w:tmpl w:val="6A870288"/>
    <w:lvl w:ilvl="0">
      <w:start w:val="1"/>
      <w:numFmt w:val="decimal"/>
      <w:lvlText w:val="%1)"/>
      <w:lvlJc w:val="left"/>
      <w:pPr>
        <w:ind w:left="1506" w:hanging="360"/>
      </w:pPr>
      <w:rPr>
        <w:rFonts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1" w15:restartNumberingAfterBreak="0">
    <w:nsid w:val="6F0E3273"/>
    <w:multiLevelType w:val="multilevel"/>
    <w:tmpl w:val="6F0E3273"/>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2" w15:restartNumberingAfterBreak="0">
    <w:nsid w:val="71A7522A"/>
    <w:multiLevelType w:val="multilevel"/>
    <w:tmpl w:val="71A7522A"/>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7B984342"/>
    <w:multiLevelType w:val="multilevel"/>
    <w:tmpl w:val="7B984342"/>
    <w:lvl w:ilvl="0">
      <w:start w:val="4"/>
      <w:numFmt w:val="decimal"/>
      <w:lvlText w:val="%1."/>
      <w:lvlJc w:val="left"/>
      <w:pPr>
        <w:ind w:left="1079" w:hanging="360"/>
      </w:pPr>
      <w:rPr>
        <w:rFonts w:hint="default"/>
      </w:r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num w:numId="1">
    <w:abstractNumId w:val="6"/>
  </w:num>
  <w:num w:numId="2">
    <w:abstractNumId w:val="12"/>
  </w:num>
  <w:num w:numId="3">
    <w:abstractNumId w:val="2"/>
  </w:num>
  <w:num w:numId="4">
    <w:abstractNumId w:val="13"/>
  </w:num>
  <w:num w:numId="5">
    <w:abstractNumId w:val="9"/>
  </w:num>
  <w:num w:numId="6">
    <w:abstractNumId w:val="10"/>
  </w:num>
  <w:num w:numId="7">
    <w:abstractNumId w:val="0"/>
  </w:num>
  <w:num w:numId="8">
    <w:abstractNumId w:val="4"/>
  </w:num>
  <w:num w:numId="9">
    <w:abstractNumId w:val="5"/>
  </w:num>
  <w:num w:numId="10">
    <w:abstractNumId w:val="8"/>
  </w:num>
  <w:num w:numId="11">
    <w:abstractNumId w:val="1"/>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413460"/>
    <w:rsid w:val="000009B0"/>
    <w:rsid w:val="000047E8"/>
    <w:rsid w:val="00005312"/>
    <w:rsid w:val="00006D08"/>
    <w:rsid w:val="00021C68"/>
    <w:rsid w:val="00026497"/>
    <w:rsid w:val="00026B60"/>
    <w:rsid w:val="00043BB6"/>
    <w:rsid w:val="00045B86"/>
    <w:rsid w:val="00051B52"/>
    <w:rsid w:val="000627C2"/>
    <w:rsid w:val="00063BED"/>
    <w:rsid w:val="00064775"/>
    <w:rsid w:val="00067448"/>
    <w:rsid w:val="00070835"/>
    <w:rsid w:val="00071A52"/>
    <w:rsid w:val="0007382C"/>
    <w:rsid w:val="000841BD"/>
    <w:rsid w:val="000C094B"/>
    <w:rsid w:val="000C2E9A"/>
    <w:rsid w:val="000F2DE2"/>
    <w:rsid w:val="00103A66"/>
    <w:rsid w:val="00112140"/>
    <w:rsid w:val="00113837"/>
    <w:rsid w:val="001159D2"/>
    <w:rsid w:val="00121805"/>
    <w:rsid w:val="0012488E"/>
    <w:rsid w:val="0013271A"/>
    <w:rsid w:val="00133470"/>
    <w:rsid w:val="00133D30"/>
    <w:rsid w:val="00147181"/>
    <w:rsid w:val="00160B35"/>
    <w:rsid w:val="00163370"/>
    <w:rsid w:val="001748C7"/>
    <w:rsid w:val="00180F13"/>
    <w:rsid w:val="00186BE8"/>
    <w:rsid w:val="001870AD"/>
    <w:rsid w:val="001A3F42"/>
    <w:rsid w:val="001D0055"/>
    <w:rsid w:val="001D4FB5"/>
    <w:rsid w:val="001E25B2"/>
    <w:rsid w:val="001E26A1"/>
    <w:rsid w:val="001E48A7"/>
    <w:rsid w:val="001E541C"/>
    <w:rsid w:val="001F4837"/>
    <w:rsid w:val="0020137E"/>
    <w:rsid w:val="0020602B"/>
    <w:rsid w:val="00206EBB"/>
    <w:rsid w:val="00213333"/>
    <w:rsid w:val="0022306D"/>
    <w:rsid w:val="002323D6"/>
    <w:rsid w:val="0028469B"/>
    <w:rsid w:val="00287F24"/>
    <w:rsid w:val="002A6A0C"/>
    <w:rsid w:val="002B22D2"/>
    <w:rsid w:val="002C659E"/>
    <w:rsid w:val="002D01E0"/>
    <w:rsid w:val="002E0E20"/>
    <w:rsid w:val="002E17CD"/>
    <w:rsid w:val="002E1907"/>
    <w:rsid w:val="002E2A5D"/>
    <w:rsid w:val="00327B7D"/>
    <w:rsid w:val="00355B9E"/>
    <w:rsid w:val="003659D7"/>
    <w:rsid w:val="003770AA"/>
    <w:rsid w:val="00381E4A"/>
    <w:rsid w:val="003B65FC"/>
    <w:rsid w:val="003C125F"/>
    <w:rsid w:val="003C19E3"/>
    <w:rsid w:val="003D0C5E"/>
    <w:rsid w:val="003D12C9"/>
    <w:rsid w:val="003D654E"/>
    <w:rsid w:val="003E1B01"/>
    <w:rsid w:val="003E4396"/>
    <w:rsid w:val="00405BD7"/>
    <w:rsid w:val="00413460"/>
    <w:rsid w:val="00426939"/>
    <w:rsid w:val="00446AF0"/>
    <w:rsid w:val="00472923"/>
    <w:rsid w:val="00473F17"/>
    <w:rsid w:val="0047711C"/>
    <w:rsid w:val="00477783"/>
    <w:rsid w:val="004A6C82"/>
    <w:rsid w:val="004D175A"/>
    <w:rsid w:val="004D57C9"/>
    <w:rsid w:val="004F449B"/>
    <w:rsid w:val="005056EB"/>
    <w:rsid w:val="00506CCB"/>
    <w:rsid w:val="005253A7"/>
    <w:rsid w:val="00567BF5"/>
    <w:rsid w:val="0057784A"/>
    <w:rsid w:val="00586ECB"/>
    <w:rsid w:val="00596661"/>
    <w:rsid w:val="005A659E"/>
    <w:rsid w:val="005B2A1B"/>
    <w:rsid w:val="005B669D"/>
    <w:rsid w:val="005C4A41"/>
    <w:rsid w:val="005C7E03"/>
    <w:rsid w:val="005D0E4D"/>
    <w:rsid w:val="00617D73"/>
    <w:rsid w:val="00636332"/>
    <w:rsid w:val="00642844"/>
    <w:rsid w:val="0064466B"/>
    <w:rsid w:val="00660D58"/>
    <w:rsid w:val="00684584"/>
    <w:rsid w:val="00690E08"/>
    <w:rsid w:val="006A7301"/>
    <w:rsid w:val="006C25CE"/>
    <w:rsid w:val="006C3A64"/>
    <w:rsid w:val="006D7D73"/>
    <w:rsid w:val="00703DB1"/>
    <w:rsid w:val="007103BF"/>
    <w:rsid w:val="00713769"/>
    <w:rsid w:val="007234B4"/>
    <w:rsid w:val="0074354C"/>
    <w:rsid w:val="007554F4"/>
    <w:rsid w:val="0076293E"/>
    <w:rsid w:val="0076614E"/>
    <w:rsid w:val="0076764C"/>
    <w:rsid w:val="00781BDB"/>
    <w:rsid w:val="00786802"/>
    <w:rsid w:val="007A53F9"/>
    <w:rsid w:val="007D13A3"/>
    <w:rsid w:val="007D58B3"/>
    <w:rsid w:val="007D65AE"/>
    <w:rsid w:val="007E1E1E"/>
    <w:rsid w:val="0083025E"/>
    <w:rsid w:val="0085046B"/>
    <w:rsid w:val="00851F1D"/>
    <w:rsid w:val="00854FFF"/>
    <w:rsid w:val="00856C32"/>
    <w:rsid w:val="00870343"/>
    <w:rsid w:val="008738E0"/>
    <w:rsid w:val="008758DA"/>
    <w:rsid w:val="008A5D72"/>
    <w:rsid w:val="008B00EA"/>
    <w:rsid w:val="008B0259"/>
    <w:rsid w:val="008B2A5F"/>
    <w:rsid w:val="008B32EE"/>
    <w:rsid w:val="008B4779"/>
    <w:rsid w:val="008B6BA0"/>
    <w:rsid w:val="008C3E52"/>
    <w:rsid w:val="008C60B5"/>
    <w:rsid w:val="008D5173"/>
    <w:rsid w:val="008E2194"/>
    <w:rsid w:val="00900096"/>
    <w:rsid w:val="0090500B"/>
    <w:rsid w:val="00922317"/>
    <w:rsid w:val="00932540"/>
    <w:rsid w:val="00932541"/>
    <w:rsid w:val="00934184"/>
    <w:rsid w:val="0093452F"/>
    <w:rsid w:val="00935F82"/>
    <w:rsid w:val="00954C07"/>
    <w:rsid w:val="00965147"/>
    <w:rsid w:val="00976E6C"/>
    <w:rsid w:val="00990502"/>
    <w:rsid w:val="00995BD4"/>
    <w:rsid w:val="009968C9"/>
    <w:rsid w:val="009A055A"/>
    <w:rsid w:val="009A56C8"/>
    <w:rsid w:val="009B122B"/>
    <w:rsid w:val="009B6488"/>
    <w:rsid w:val="009C7875"/>
    <w:rsid w:val="009C7EB9"/>
    <w:rsid w:val="009E25F4"/>
    <w:rsid w:val="009E4EB3"/>
    <w:rsid w:val="00A22D4A"/>
    <w:rsid w:val="00A24011"/>
    <w:rsid w:val="00A2710D"/>
    <w:rsid w:val="00A4148F"/>
    <w:rsid w:val="00A42C7C"/>
    <w:rsid w:val="00A52E9B"/>
    <w:rsid w:val="00A5586B"/>
    <w:rsid w:val="00A60E06"/>
    <w:rsid w:val="00A748CC"/>
    <w:rsid w:val="00A7637B"/>
    <w:rsid w:val="00A83047"/>
    <w:rsid w:val="00A86183"/>
    <w:rsid w:val="00A946A2"/>
    <w:rsid w:val="00AA3CA0"/>
    <w:rsid w:val="00AC1830"/>
    <w:rsid w:val="00AC5BE6"/>
    <w:rsid w:val="00AC7035"/>
    <w:rsid w:val="00AD2D84"/>
    <w:rsid w:val="00AD4D11"/>
    <w:rsid w:val="00AF39BC"/>
    <w:rsid w:val="00B02D4E"/>
    <w:rsid w:val="00B065F8"/>
    <w:rsid w:val="00B22AC5"/>
    <w:rsid w:val="00B27EEE"/>
    <w:rsid w:val="00B348CE"/>
    <w:rsid w:val="00B7065B"/>
    <w:rsid w:val="00B877EC"/>
    <w:rsid w:val="00B93A62"/>
    <w:rsid w:val="00BA799A"/>
    <w:rsid w:val="00BB0797"/>
    <w:rsid w:val="00BB0C18"/>
    <w:rsid w:val="00C160B9"/>
    <w:rsid w:val="00C1680E"/>
    <w:rsid w:val="00C16A28"/>
    <w:rsid w:val="00C246FC"/>
    <w:rsid w:val="00C41D21"/>
    <w:rsid w:val="00C472F9"/>
    <w:rsid w:val="00C563FA"/>
    <w:rsid w:val="00C56D0F"/>
    <w:rsid w:val="00C6494D"/>
    <w:rsid w:val="00C72902"/>
    <w:rsid w:val="00CA37B8"/>
    <w:rsid w:val="00CA773E"/>
    <w:rsid w:val="00CB6917"/>
    <w:rsid w:val="00D01590"/>
    <w:rsid w:val="00D02DC6"/>
    <w:rsid w:val="00D0404A"/>
    <w:rsid w:val="00D33AFE"/>
    <w:rsid w:val="00D36056"/>
    <w:rsid w:val="00D73427"/>
    <w:rsid w:val="00D77ED6"/>
    <w:rsid w:val="00D94C26"/>
    <w:rsid w:val="00DB44E5"/>
    <w:rsid w:val="00DD3C7C"/>
    <w:rsid w:val="00E00B11"/>
    <w:rsid w:val="00E02BCE"/>
    <w:rsid w:val="00E30077"/>
    <w:rsid w:val="00E30F3B"/>
    <w:rsid w:val="00E34787"/>
    <w:rsid w:val="00E5056D"/>
    <w:rsid w:val="00E56AAF"/>
    <w:rsid w:val="00E57863"/>
    <w:rsid w:val="00E8111E"/>
    <w:rsid w:val="00E86787"/>
    <w:rsid w:val="00E94147"/>
    <w:rsid w:val="00EA44FF"/>
    <w:rsid w:val="00EB0C4F"/>
    <w:rsid w:val="00EB1C82"/>
    <w:rsid w:val="00EB3B20"/>
    <w:rsid w:val="00EC2FA4"/>
    <w:rsid w:val="00ED3226"/>
    <w:rsid w:val="00EE3603"/>
    <w:rsid w:val="00EE5A40"/>
    <w:rsid w:val="00EF1D23"/>
    <w:rsid w:val="00EF3AF6"/>
    <w:rsid w:val="00F01BD6"/>
    <w:rsid w:val="00F0293D"/>
    <w:rsid w:val="00F13A32"/>
    <w:rsid w:val="00F334FD"/>
    <w:rsid w:val="00F344F8"/>
    <w:rsid w:val="00F438A8"/>
    <w:rsid w:val="00F45B78"/>
    <w:rsid w:val="00F50CEB"/>
    <w:rsid w:val="00F52E19"/>
    <w:rsid w:val="00F55A9E"/>
    <w:rsid w:val="00F63109"/>
    <w:rsid w:val="00FA54D1"/>
    <w:rsid w:val="00FB6835"/>
    <w:rsid w:val="00FB7DF5"/>
    <w:rsid w:val="00FC1E47"/>
    <w:rsid w:val="00FC643E"/>
    <w:rsid w:val="00FC66A1"/>
    <w:rsid w:val="00FD6AAA"/>
    <w:rsid w:val="08B3077F"/>
    <w:rsid w:val="15E909F7"/>
    <w:rsid w:val="221C0187"/>
    <w:rsid w:val="33302717"/>
    <w:rsid w:val="3D2F2F11"/>
    <w:rsid w:val="3EFF68EA"/>
    <w:rsid w:val="44C01DF3"/>
    <w:rsid w:val="4F362C96"/>
    <w:rsid w:val="76AF048A"/>
    <w:rsid w:val="7D761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D3F8D74-1621-4B1F-8E45-33597D9F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D2D84"/>
    <w:pPr>
      <w:widowControl w:val="0"/>
      <w:autoSpaceDE w:val="0"/>
      <w:autoSpaceDN w:val="0"/>
      <w:spacing w:after="160" w:line="259" w:lineRule="auto"/>
    </w:pPr>
    <w:rPr>
      <w:rFonts w:ascii="Arial" w:eastAsia="Arial" w:hAnsi="Arial" w:cs="Arial"/>
      <w:sz w:val="22"/>
      <w:szCs w:val="2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2D84"/>
    <w:rPr>
      <w:rFonts w:ascii="Tahoma" w:hAnsi="Tahoma" w:cs="Tahoma"/>
      <w:sz w:val="16"/>
      <w:szCs w:val="16"/>
    </w:rPr>
  </w:style>
  <w:style w:type="paragraph" w:styleId="Tekstpodstawowy">
    <w:name w:val="Body Text"/>
    <w:basedOn w:val="Normalny"/>
    <w:uiPriority w:val="1"/>
    <w:qFormat/>
    <w:rsid w:val="00AD2D84"/>
    <w:pPr>
      <w:ind w:left="826" w:hanging="280"/>
      <w:jc w:val="both"/>
    </w:pPr>
    <w:rPr>
      <w:sz w:val="24"/>
      <w:szCs w:val="24"/>
    </w:rPr>
  </w:style>
  <w:style w:type="character" w:styleId="Odwoaniedokomentarza">
    <w:name w:val="annotation reference"/>
    <w:basedOn w:val="Domylnaczcionkaakapitu"/>
    <w:uiPriority w:val="99"/>
    <w:semiHidden/>
    <w:unhideWhenUsed/>
    <w:rsid w:val="00AD2D84"/>
    <w:rPr>
      <w:sz w:val="16"/>
      <w:szCs w:val="16"/>
    </w:rPr>
  </w:style>
  <w:style w:type="paragraph" w:styleId="Tekstkomentarza">
    <w:name w:val="annotation text"/>
    <w:basedOn w:val="Normalny"/>
    <w:link w:val="TekstkomentarzaZnak"/>
    <w:uiPriority w:val="99"/>
    <w:semiHidden/>
    <w:unhideWhenUsed/>
    <w:rsid w:val="00AD2D84"/>
    <w:rPr>
      <w:sz w:val="20"/>
      <w:szCs w:val="20"/>
    </w:rPr>
  </w:style>
  <w:style w:type="paragraph" w:styleId="Tematkomentarza">
    <w:name w:val="annotation subject"/>
    <w:basedOn w:val="Tekstkomentarza"/>
    <w:next w:val="Tekstkomentarza"/>
    <w:link w:val="TematkomentarzaZnak"/>
    <w:uiPriority w:val="99"/>
    <w:semiHidden/>
    <w:unhideWhenUsed/>
    <w:qFormat/>
    <w:rsid w:val="00AD2D84"/>
    <w:rPr>
      <w:b/>
      <w:bCs/>
    </w:rPr>
  </w:style>
  <w:style w:type="paragraph" w:styleId="Stopka">
    <w:name w:val="footer"/>
    <w:basedOn w:val="Normalny"/>
    <w:link w:val="StopkaZnak"/>
    <w:uiPriority w:val="99"/>
    <w:semiHidden/>
    <w:unhideWhenUsed/>
    <w:qFormat/>
    <w:rsid w:val="00AD2D84"/>
    <w:pPr>
      <w:tabs>
        <w:tab w:val="center" w:pos="4536"/>
        <w:tab w:val="right" w:pos="9072"/>
      </w:tabs>
    </w:pPr>
  </w:style>
  <w:style w:type="paragraph" w:styleId="Nagwek">
    <w:name w:val="header"/>
    <w:basedOn w:val="Normalny"/>
    <w:link w:val="NagwekZnak"/>
    <w:uiPriority w:val="99"/>
    <w:semiHidden/>
    <w:unhideWhenUsed/>
    <w:qFormat/>
    <w:rsid w:val="00AD2D84"/>
    <w:pPr>
      <w:tabs>
        <w:tab w:val="center" w:pos="4536"/>
        <w:tab w:val="right" w:pos="9072"/>
      </w:tabs>
    </w:pPr>
  </w:style>
  <w:style w:type="table" w:customStyle="1" w:styleId="TableNormal1">
    <w:name w:val="Table Normal1"/>
    <w:uiPriority w:val="2"/>
    <w:semiHidden/>
    <w:unhideWhenUsed/>
    <w:qFormat/>
    <w:rsid w:val="00AD2D84"/>
    <w:tblPr>
      <w:tblCellMar>
        <w:top w:w="0" w:type="dxa"/>
        <w:left w:w="0" w:type="dxa"/>
        <w:bottom w:w="0" w:type="dxa"/>
        <w:right w:w="0" w:type="dxa"/>
      </w:tblCellMar>
    </w:tblPr>
  </w:style>
  <w:style w:type="paragraph" w:customStyle="1" w:styleId="Nagwek11">
    <w:name w:val="Nagłówek 11"/>
    <w:basedOn w:val="Normalny"/>
    <w:uiPriority w:val="1"/>
    <w:qFormat/>
    <w:rsid w:val="00AD2D84"/>
    <w:pPr>
      <w:ind w:left="2455" w:right="2455"/>
      <w:jc w:val="center"/>
      <w:outlineLvl w:val="1"/>
    </w:pPr>
    <w:rPr>
      <w:rFonts w:ascii="Trebuchet MS" w:eastAsia="Trebuchet MS" w:hAnsi="Trebuchet MS" w:cs="Trebuchet MS"/>
      <w:b/>
      <w:bCs/>
      <w:sz w:val="24"/>
      <w:szCs w:val="24"/>
    </w:rPr>
  </w:style>
  <w:style w:type="paragraph" w:styleId="Akapitzlist">
    <w:name w:val="List Paragraph"/>
    <w:basedOn w:val="Normalny"/>
    <w:uiPriority w:val="1"/>
    <w:qFormat/>
    <w:rsid w:val="00AD2D84"/>
    <w:pPr>
      <w:ind w:left="826" w:hanging="280"/>
      <w:jc w:val="both"/>
    </w:pPr>
  </w:style>
  <w:style w:type="paragraph" w:customStyle="1" w:styleId="TableParagraph">
    <w:name w:val="Table Paragraph"/>
    <w:basedOn w:val="Normalny"/>
    <w:uiPriority w:val="1"/>
    <w:qFormat/>
    <w:rsid w:val="00AD2D84"/>
  </w:style>
  <w:style w:type="character" w:customStyle="1" w:styleId="TekstdymkaZnak">
    <w:name w:val="Tekst dymka Znak"/>
    <w:basedOn w:val="Domylnaczcionkaakapitu"/>
    <w:link w:val="Tekstdymka"/>
    <w:uiPriority w:val="99"/>
    <w:semiHidden/>
    <w:qFormat/>
    <w:rsid w:val="00AD2D84"/>
    <w:rPr>
      <w:rFonts w:ascii="Tahoma" w:eastAsia="Arial" w:hAnsi="Tahoma" w:cs="Tahoma"/>
      <w:sz w:val="16"/>
      <w:szCs w:val="16"/>
      <w:lang w:val="pl-PL" w:eastAsia="pl-PL" w:bidi="pl-PL"/>
    </w:rPr>
  </w:style>
  <w:style w:type="character" w:customStyle="1" w:styleId="NagwekZnak">
    <w:name w:val="Nagłówek Znak"/>
    <w:basedOn w:val="Domylnaczcionkaakapitu"/>
    <w:link w:val="Nagwek"/>
    <w:uiPriority w:val="99"/>
    <w:semiHidden/>
    <w:qFormat/>
    <w:rsid w:val="00AD2D84"/>
    <w:rPr>
      <w:rFonts w:ascii="Arial" w:eastAsia="Arial" w:hAnsi="Arial" w:cs="Arial"/>
      <w:lang w:val="pl-PL" w:eastAsia="pl-PL" w:bidi="pl-PL"/>
    </w:rPr>
  </w:style>
  <w:style w:type="character" w:customStyle="1" w:styleId="StopkaZnak">
    <w:name w:val="Stopka Znak"/>
    <w:basedOn w:val="Domylnaczcionkaakapitu"/>
    <w:link w:val="Stopka"/>
    <w:uiPriority w:val="99"/>
    <w:semiHidden/>
    <w:qFormat/>
    <w:rsid w:val="00AD2D84"/>
    <w:rPr>
      <w:rFonts w:ascii="Arial" w:eastAsia="Arial" w:hAnsi="Arial" w:cs="Arial"/>
      <w:lang w:val="pl-PL" w:eastAsia="pl-PL" w:bidi="pl-PL"/>
    </w:rPr>
  </w:style>
  <w:style w:type="character" w:customStyle="1" w:styleId="TekstkomentarzaZnak">
    <w:name w:val="Tekst komentarza Znak"/>
    <w:basedOn w:val="Domylnaczcionkaakapitu"/>
    <w:link w:val="Tekstkomentarza"/>
    <w:uiPriority w:val="99"/>
    <w:semiHidden/>
    <w:qFormat/>
    <w:rsid w:val="00AD2D84"/>
    <w:rPr>
      <w:rFonts w:ascii="Arial" w:eastAsia="Arial" w:hAnsi="Arial" w:cs="Arial"/>
      <w:sz w:val="20"/>
      <w:szCs w:val="20"/>
      <w:lang w:val="pl-PL" w:eastAsia="pl-PL" w:bidi="pl-PL"/>
    </w:rPr>
  </w:style>
  <w:style w:type="character" w:customStyle="1" w:styleId="TematkomentarzaZnak">
    <w:name w:val="Temat komentarza Znak"/>
    <w:basedOn w:val="TekstkomentarzaZnak"/>
    <w:link w:val="Tematkomentarza"/>
    <w:uiPriority w:val="99"/>
    <w:semiHidden/>
    <w:qFormat/>
    <w:rsid w:val="00AD2D84"/>
    <w:rPr>
      <w:rFonts w:ascii="Arial" w:eastAsia="Arial" w:hAnsi="Arial" w:cs="Arial"/>
      <w:b/>
      <w:bCs/>
      <w:sz w:val="20"/>
      <w:szCs w:val="20"/>
      <w:lang w:val="pl-PL" w:eastAsia="pl-PL" w:bidi="pl-PL"/>
    </w:rPr>
  </w:style>
  <w:style w:type="paragraph" w:customStyle="1" w:styleId="Default">
    <w:name w:val="Default"/>
    <w:qFormat/>
    <w:rsid w:val="00AD2D84"/>
    <w:pPr>
      <w:autoSpaceDE w:val="0"/>
      <w:autoSpaceDN w:val="0"/>
      <w:adjustRightInd w:val="0"/>
      <w:spacing w:after="160" w:line="259" w:lineRule="auto"/>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5CD30-AA50-495B-9C3E-5B40B2E5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4826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Zasady przyznawania środków finansowych</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przyznawania środków finansowych</dc:title>
  <dc:creator>R.Rabijewska</dc:creator>
  <cp:lastModifiedBy>Anita Tuźnik</cp:lastModifiedBy>
  <cp:revision>5</cp:revision>
  <cp:lastPrinted>2022-09-19T09:14:00Z</cp:lastPrinted>
  <dcterms:created xsi:type="dcterms:W3CDTF">2022-09-02T08:00:00Z</dcterms:created>
  <dcterms:modified xsi:type="dcterms:W3CDTF">2022-09-19T09:14:00Z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2010</vt:lpwstr>
  </property>
  <property fmtid="{D5CDD505-2E9C-101B-9397-08002B2CF9AE}" pid="4" name="LastSaved">
    <vt:filetime>2019-07-02T00:00:00Z</vt:filetime>
  </property>
  <property fmtid="{D5CDD505-2E9C-101B-9397-08002B2CF9AE}" pid="5" name="KSOProductBuildVer">
    <vt:lpwstr>1033-11.2.0.10452</vt:lpwstr>
  </property>
  <property fmtid="{D5CDD505-2E9C-101B-9397-08002B2CF9AE}" pid="6" name="ICV">
    <vt:lpwstr>A98EB7055399430485523B70A6769B92</vt:lpwstr>
  </property>
</Properties>
</file>