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C3A94" w14:textId="015C3D6A" w:rsidR="00793E36" w:rsidRDefault="00793E36">
      <w:r w:rsidRPr="00461800">
        <w:rPr>
          <w:noProof/>
          <w:lang w:eastAsia="pl-PL"/>
        </w:rPr>
        <w:drawing>
          <wp:anchor distT="0" distB="0" distL="114300" distR="114300" simplePos="0" relativeHeight="251659264" behindDoc="1" locked="0" layoutInCell="1" allowOverlap="1" wp14:anchorId="37885ED6" wp14:editId="61784339">
            <wp:simplePos x="0" y="0"/>
            <wp:positionH relativeFrom="page">
              <wp:posOffset>-257175</wp:posOffset>
            </wp:positionH>
            <wp:positionV relativeFrom="paragraph">
              <wp:posOffset>-899795</wp:posOffset>
            </wp:positionV>
            <wp:extent cx="7772400" cy="1466850"/>
            <wp:effectExtent l="0" t="0" r="0" b="0"/>
            <wp:wrapNone/>
            <wp:docPr id="4" name="Obraz 1" descr="gora listownik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gora listownik 9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72400" cy="1466850"/>
                    </a:xfrm>
                    <a:prstGeom prst="rect">
                      <a:avLst/>
                    </a:prstGeom>
                    <a:noFill/>
                  </pic:spPr>
                </pic:pic>
              </a:graphicData>
            </a:graphic>
            <wp14:sizeRelH relativeFrom="page">
              <wp14:pctWidth>0</wp14:pctWidth>
            </wp14:sizeRelH>
            <wp14:sizeRelV relativeFrom="page">
              <wp14:pctHeight>0</wp14:pctHeight>
            </wp14:sizeRelV>
          </wp:anchor>
        </w:drawing>
      </w:r>
    </w:p>
    <w:p w14:paraId="11DA3A42" w14:textId="771ECF5E" w:rsidR="00194311" w:rsidRDefault="00194311"/>
    <w:p w14:paraId="34897871" w14:textId="17BA16AB" w:rsidR="00793E36" w:rsidRPr="00793E36" w:rsidRDefault="00793E36" w:rsidP="00793E36"/>
    <w:p w14:paraId="2246E9E5" w14:textId="1587C445" w:rsidR="00793E36" w:rsidRDefault="00793E36" w:rsidP="00793E36"/>
    <w:p w14:paraId="148148E3" w14:textId="47F1CC7A" w:rsidR="00793E36" w:rsidRDefault="00793E36" w:rsidP="00793E36">
      <w:pPr>
        <w:tabs>
          <w:tab w:val="left" w:pos="2865"/>
        </w:tabs>
      </w:pPr>
      <w:r>
        <w:tab/>
      </w:r>
    </w:p>
    <w:p w14:paraId="71476A28" w14:textId="159108AA" w:rsidR="00793E36" w:rsidRPr="00793E36" w:rsidRDefault="00793E36" w:rsidP="00793E36">
      <w:pPr>
        <w:pStyle w:val="Nagwek1"/>
        <w:jc w:val="center"/>
        <w:rPr>
          <w:color w:val="auto"/>
          <w:sz w:val="48"/>
          <w:szCs w:val="48"/>
        </w:rPr>
      </w:pPr>
      <w:r w:rsidRPr="00793E36">
        <w:rPr>
          <w:color w:val="auto"/>
          <w:sz w:val="48"/>
          <w:szCs w:val="48"/>
        </w:rPr>
        <w:t>(OTM-R)</w:t>
      </w:r>
    </w:p>
    <w:p w14:paraId="002C1FAC" w14:textId="77777777" w:rsidR="00793E36" w:rsidRPr="00793E36" w:rsidRDefault="00793E36" w:rsidP="00793E36">
      <w:pPr>
        <w:tabs>
          <w:tab w:val="left" w:pos="2865"/>
        </w:tabs>
      </w:pPr>
    </w:p>
    <w:p w14:paraId="0C4F3BE3" w14:textId="58CDC8AA" w:rsidR="00793E36" w:rsidRPr="00793E36" w:rsidRDefault="00793E36" w:rsidP="00793E36">
      <w:pPr>
        <w:pStyle w:val="Nagwek1"/>
        <w:jc w:val="center"/>
        <w:rPr>
          <w:color w:val="auto"/>
          <w:sz w:val="48"/>
          <w:szCs w:val="48"/>
        </w:rPr>
      </w:pPr>
      <w:r w:rsidRPr="00793E36">
        <w:rPr>
          <w:color w:val="auto"/>
          <w:sz w:val="48"/>
          <w:szCs w:val="48"/>
        </w:rPr>
        <w:t>Polityka otwartych, przejrzystych i opartych</w:t>
      </w:r>
      <w:r w:rsidRPr="00793E36">
        <w:rPr>
          <w:color w:val="auto"/>
          <w:sz w:val="48"/>
          <w:szCs w:val="48"/>
        </w:rPr>
        <w:br/>
        <w:t>o kompetencje zasad rekrutacji pracowników naukowych</w:t>
      </w:r>
    </w:p>
    <w:p w14:paraId="173A672F" w14:textId="3FD31CB0" w:rsidR="00793E36" w:rsidRPr="00793E36" w:rsidRDefault="00793E36" w:rsidP="00793E36">
      <w:pPr>
        <w:tabs>
          <w:tab w:val="left" w:pos="2865"/>
        </w:tabs>
      </w:pPr>
    </w:p>
    <w:p w14:paraId="162F8706" w14:textId="70080F1E" w:rsidR="00793E36" w:rsidRPr="00793E36" w:rsidRDefault="00793E36" w:rsidP="00793E36">
      <w:pPr>
        <w:tabs>
          <w:tab w:val="left" w:pos="2865"/>
        </w:tabs>
      </w:pPr>
    </w:p>
    <w:p w14:paraId="32468A7C" w14:textId="6B20E0B6" w:rsidR="00793E36" w:rsidRPr="00793E36" w:rsidRDefault="00793E36" w:rsidP="00793E36">
      <w:pPr>
        <w:tabs>
          <w:tab w:val="left" w:pos="2865"/>
        </w:tabs>
      </w:pPr>
    </w:p>
    <w:p w14:paraId="0D44484D" w14:textId="645E7B0B" w:rsidR="00793E36" w:rsidRPr="00E422EE" w:rsidRDefault="00793E36" w:rsidP="00793E36">
      <w:pPr>
        <w:pStyle w:val="Nagwek1"/>
        <w:jc w:val="center"/>
        <w:rPr>
          <w:color w:val="auto"/>
          <w:sz w:val="48"/>
          <w:szCs w:val="48"/>
          <w:lang w:val="en-US"/>
        </w:rPr>
      </w:pPr>
      <w:r w:rsidRPr="00E422EE">
        <w:rPr>
          <w:color w:val="auto"/>
          <w:sz w:val="48"/>
          <w:szCs w:val="48"/>
          <w:lang w:val="en-US"/>
        </w:rPr>
        <w:t>Open, Transparent and Merit-based Recruitment of Researcher</w:t>
      </w:r>
    </w:p>
    <w:p w14:paraId="5D8A0C70" w14:textId="371A9A27" w:rsidR="00793E36" w:rsidRPr="00E422EE" w:rsidRDefault="00793E36" w:rsidP="00793E36">
      <w:pPr>
        <w:rPr>
          <w:lang w:val="en-US"/>
        </w:rPr>
      </w:pPr>
    </w:p>
    <w:p w14:paraId="2D4F9A46" w14:textId="61DE3D34" w:rsidR="00793E36" w:rsidRPr="00E422EE" w:rsidRDefault="00793E36" w:rsidP="00793E36">
      <w:pPr>
        <w:rPr>
          <w:lang w:val="en-US"/>
        </w:rPr>
      </w:pPr>
    </w:p>
    <w:p w14:paraId="25DEE290" w14:textId="740636D7" w:rsidR="00793E36" w:rsidRPr="00E422EE" w:rsidRDefault="00223C65">
      <w:pPr>
        <w:rPr>
          <w:lang w:val="en-US"/>
        </w:rPr>
      </w:pPr>
      <w:r>
        <w:rPr>
          <w:noProof/>
          <w:lang w:eastAsia="pl-PL"/>
        </w:rPr>
        <w:drawing>
          <wp:anchor distT="0" distB="0" distL="114300" distR="114300" simplePos="0" relativeHeight="251660288" behindDoc="0" locked="0" layoutInCell="1" allowOverlap="1" wp14:anchorId="7FC90C35" wp14:editId="2D72D350">
            <wp:simplePos x="0" y="0"/>
            <wp:positionH relativeFrom="margin">
              <wp:align>center</wp:align>
            </wp:positionH>
            <wp:positionV relativeFrom="margin">
              <wp:posOffset>6660763</wp:posOffset>
            </wp:positionV>
            <wp:extent cx="1619250" cy="1094740"/>
            <wp:effectExtent l="0" t="0" r="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9250" cy="1094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3E36" w:rsidRPr="00E422EE">
        <w:rPr>
          <w:lang w:val="en-US"/>
        </w:rPr>
        <w:br w:type="page"/>
      </w:r>
    </w:p>
    <w:p w14:paraId="6FCC2261" w14:textId="43CCD345" w:rsidR="000A1C4F" w:rsidRPr="005A619D" w:rsidRDefault="001907C2" w:rsidP="00DE2EB6">
      <w:pPr>
        <w:spacing w:line="276" w:lineRule="auto"/>
        <w:jc w:val="both"/>
        <w:rPr>
          <w:lang w:val="en-US"/>
        </w:rPr>
      </w:pPr>
      <w:r w:rsidRPr="00E422EE">
        <w:rPr>
          <w:lang w:val="en-US"/>
        </w:rPr>
        <w:lastRenderedPageBreak/>
        <w:t>Open, transparent and merit-based recruitment</w:t>
      </w:r>
      <w:r>
        <w:rPr>
          <w:lang w:val="en-US"/>
        </w:rPr>
        <w:t xml:space="preserve"> policy, as a part of the HRS</w:t>
      </w:r>
      <w:r w:rsidRPr="00E422EE">
        <w:rPr>
          <w:lang w:val="en-US"/>
        </w:rPr>
        <w:t>4R Strategy, ensures that the best person for the job is recruited, guarantees equal opportunities and access to appl</w:t>
      </w:r>
      <w:r>
        <w:rPr>
          <w:lang w:val="en-US"/>
        </w:rPr>
        <w:t xml:space="preserve">y for each and every candidate. </w:t>
      </w:r>
      <w:r w:rsidRPr="00E422EE">
        <w:rPr>
          <w:lang w:val="en-US"/>
        </w:rPr>
        <w:t>Furthermore, it makes research careers more attractive by boosting international cooperation and facilitates the development of external portfolio (cooperation, competition, mobility).</w:t>
      </w:r>
    </w:p>
    <w:p w14:paraId="054FDEB9" w14:textId="1CB7537C" w:rsidR="000A1C4F" w:rsidRPr="005A619D" w:rsidRDefault="005A619D" w:rsidP="000A1C4F">
      <w:pPr>
        <w:spacing w:before="120" w:after="120" w:line="240" w:lineRule="auto"/>
        <w:jc w:val="both"/>
        <w:rPr>
          <w:lang w:val="en-US"/>
        </w:rPr>
      </w:pPr>
      <w:r w:rsidRPr="005A619D">
        <w:rPr>
          <w:lang w:val="en-US"/>
        </w:rPr>
        <w:t xml:space="preserve">The </w:t>
      </w:r>
      <w:proofErr w:type="spellStart"/>
      <w:r w:rsidRPr="005A619D">
        <w:rPr>
          <w:lang w:val="en-US"/>
        </w:rPr>
        <w:t>Poznań</w:t>
      </w:r>
      <w:proofErr w:type="spellEnd"/>
      <w:r w:rsidRPr="005A619D">
        <w:rPr>
          <w:lang w:val="en-US"/>
        </w:rPr>
        <w:t xml:space="preserve"> University of Economics and Business, as an institution </w:t>
      </w:r>
      <w:r w:rsidR="009E43FA">
        <w:rPr>
          <w:lang w:val="en-US"/>
        </w:rPr>
        <w:t>given</w:t>
      </w:r>
      <w:r w:rsidRPr="005A619D">
        <w:rPr>
          <w:lang w:val="en-US"/>
        </w:rPr>
        <w:t xml:space="preserve"> the European HR Excellence in Research award, has established a policy for the recruitment of academic staff - research, research </w:t>
      </w:r>
      <w:r w:rsidR="009E43FA">
        <w:rPr>
          <w:lang w:val="en-US"/>
        </w:rPr>
        <w:t xml:space="preserve">and teaching and teaching staff, </w:t>
      </w:r>
      <w:r w:rsidRPr="005A619D">
        <w:rPr>
          <w:lang w:val="en-US"/>
        </w:rPr>
        <w:t>based on The Code of Conduct for the Recruitment of Researchers and the following</w:t>
      </w:r>
      <w:r>
        <w:rPr>
          <w:lang w:val="en-US"/>
        </w:rPr>
        <w:t xml:space="preserve"> legislation and normative acts</w:t>
      </w:r>
      <w:r w:rsidR="000A1C4F" w:rsidRPr="005A619D">
        <w:rPr>
          <w:lang w:val="en-US"/>
        </w:rPr>
        <w:t>:</w:t>
      </w:r>
    </w:p>
    <w:p w14:paraId="64201FDE" w14:textId="5EE8BAA1" w:rsidR="000A1C4F" w:rsidRDefault="005A619D" w:rsidP="005A619D">
      <w:pPr>
        <w:pStyle w:val="Akapitzlist"/>
        <w:numPr>
          <w:ilvl w:val="0"/>
          <w:numId w:val="3"/>
        </w:numPr>
        <w:spacing w:before="120" w:after="120" w:line="240" w:lineRule="auto"/>
        <w:ind w:left="284" w:hanging="284"/>
        <w:jc w:val="both"/>
        <w:rPr>
          <w:lang w:val="en-US"/>
        </w:rPr>
      </w:pPr>
      <w:r w:rsidRPr="005A619D">
        <w:rPr>
          <w:lang w:val="en-US"/>
        </w:rPr>
        <w:t>the Act of 20 July 2018 - Law on Higher Education and Science (Journal of Laws of 2020, item 85, as amended), hereinafter referred to as the Act, and the secondary legislation issued thereto, in particular concerning the evaluation of the University,</w:t>
      </w:r>
    </w:p>
    <w:p w14:paraId="214C9120" w14:textId="369DA638" w:rsidR="005A619D" w:rsidRDefault="005A619D" w:rsidP="005A619D">
      <w:pPr>
        <w:pStyle w:val="Akapitzlist"/>
        <w:numPr>
          <w:ilvl w:val="0"/>
          <w:numId w:val="3"/>
        </w:numPr>
        <w:spacing w:before="120" w:after="120" w:line="240" w:lineRule="auto"/>
        <w:ind w:left="284" w:hanging="284"/>
        <w:jc w:val="both"/>
        <w:rPr>
          <w:lang w:val="en-US"/>
        </w:rPr>
      </w:pPr>
      <w:r w:rsidRPr="005A619D">
        <w:rPr>
          <w:lang w:val="en-US"/>
        </w:rPr>
        <w:t>PUEB Statutes, adopted by the PUEB Senate on 26 April 2019 (as amended), hereinafter referred to as the Statutes</w:t>
      </w:r>
    </w:p>
    <w:p w14:paraId="58FE82E4" w14:textId="5032BF59" w:rsidR="005A619D" w:rsidRPr="005A619D" w:rsidRDefault="005A619D" w:rsidP="005A619D">
      <w:pPr>
        <w:pStyle w:val="Akapitzlist"/>
        <w:numPr>
          <w:ilvl w:val="0"/>
          <w:numId w:val="3"/>
        </w:numPr>
        <w:spacing w:before="120" w:after="120" w:line="240" w:lineRule="auto"/>
        <w:ind w:left="284" w:hanging="284"/>
        <w:jc w:val="both"/>
        <w:rPr>
          <w:lang w:val="en-US"/>
        </w:rPr>
      </w:pPr>
      <w:r>
        <w:rPr>
          <w:lang w:val="en-US"/>
        </w:rPr>
        <w:t xml:space="preserve">the Polish </w:t>
      </w:r>
      <w:proofErr w:type="spellStart"/>
      <w:r>
        <w:rPr>
          <w:lang w:val="en-US"/>
        </w:rPr>
        <w:t>Labour</w:t>
      </w:r>
      <w:proofErr w:type="spellEnd"/>
      <w:r>
        <w:rPr>
          <w:lang w:val="en-US"/>
        </w:rPr>
        <w:t xml:space="preserve"> Code.</w:t>
      </w:r>
    </w:p>
    <w:p w14:paraId="381A74B5" w14:textId="7ED0A07D" w:rsidR="000A1C4F" w:rsidRPr="001907C2" w:rsidRDefault="001907C2" w:rsidP="000A1C4F">
      <w:pPr>
        <w:spacing w:before="120" w:after="120" w:line="240" w:lineRule="auto"/>
        <w:jc w:val="both"/>
        <w:rPr>
          <w:lang w:val="en-US"/>
        </w:rPr>
      </w:pPr>
      <w:r w:rsidRPr="001907C2">
        <w:rPr>
          <w:lang w:val="en-US"/>
        </w:rPr>
        <w:t xml:space="preserve">The ambition of </w:t>
      </w:r>
      <w:proofErr w:type="spellStart"/>
      <w:r w:rsidRPr="001907C2">
        <w:rPr>
          <w:lang w:val="en-US"/>
        </w:rPr>
        <w:t>Poznań</w:t>
      </w:r>
      <w:proofErr w:type="spellEnd"/>
      <w:r w:rsidRPr="001907C2">
        <w:rPr>
          <w:lang w:val="en-US"/>
        </w:rPr>
        <w:t xml:space="preserve"> University of Economics and Business is to attract top talent, as well as </w:t>
      </w:r>
      <w:r w:rsidR="0076377A">
        <w:rPr>
          <w:lang w:val="en-US"/>
        </w:rPr>
        <w:t xml:space="preserve">to </w:t>
      </w:r>
      <w:r w:rsidRPr="001907C2">
        <w:rPr>
          <w:lang w:val="en-US"/>
        </w:rPr>
        <w:t>define and promote the career paths of those who work at the University by guaranteeing the transparency of recruitment, app</w:t>
      </w:r>
      <w:r>
        <w:rPr>
          <w:lang w:val="en-US"/>
        </w:rPr>
        <w:t>raisal and pro</w:t>
      </w:r>
      <w:r w:rsidR="0076377A">
        <w:rPr>
          <w:lang w:val="en-US"/>
        </w:rPr>
        <w:t xml:space="preserve">motion procedures together with </w:t>
      </w:r>
      <w:r>
        <w:rPr>
          <w:lang w:val="en-US"/>
        </w:rPr>
        <w:t xml:space="preserve">the respect for the principles and requirements set out in the European </w:t>
      </w:r>
      <w:r w:rsidR="0076377A">
        <w:rPr>
          <w:lang w:val="en-US"/>
        </w:rPr>
        <w:t>Charter for Researchers, as well as to raise the University’s international recognition and enhance its reputation as an employer</w:t>
      </w:r>
      <w:r w:rsidR="000A1C4F" w:rsidRPr="001907C2">
        <w:rPr>
          <w:lang w:val="en-US"/>
        </w:rPr>
        <w:t>.</w:t>
      </w:r>
    </w:p>
    <w:p w14:paraId="69FC0983" w14:textId="05BA56EA" w:rsidR="000A1C4F" w:rsidRPr="005A619D" w:rsidRDefault="005A619D" w:rsidP="000A1C4F">
      <w:pPr>
        <w:spacing w:before="120" w:after="120" w:line="240" w:lineRule="auto"/>
        <w:jc w:val="both"/>
        <w:rPr>
          <w:lang w:val="en-US"/>
        </w:rPr>
      </w:pPr>
      <w:r w:rsidRPr="005A619D">
        <w:rPr>
          <w:lang w:val="en-US"/>
        </w:rPr>
        <w:t xml:space="preserve">Three stages of the OTM-R policy have been identified at our </w:t>
      </w:r>
      <w:r>
        <w:rPr>
          <w:lang w:val="en-US"/>
        </w:rPr>
        <w:t>University:</w:t>
      </w:r>
    </w:p>
    <w:p w14:paraId="0505C48E" w14:textId="0E774F85" w:rsidR="000A1C4F" w:rsidRPr="005A619D" w:rsidRDefault="005A619D" w:rsidP="001907C2">
      <w:pPr>
        <w:pStyle w:val="Akapitzlist"/>
        <w:numPr>
          <w:ilvl w:val="0"/>
          <w:numId w:val="8"/>
        </w:numPr>
        <w:spacing w:before="120" w:after="120" w:line="240" w:lineRule="auto"/>
        <w:ind w:left="426" w:hanging="284"/>
        <w:jc w:val="both"/>
        <w:rPr>
          <w:lang w:val="en-US"/>
        </w:rPr>
      </w:pPr>
      <w:r w:rsidRPr="005A619D">
        <w:rPr>
          <w:lang w:val="en-US"/>
        </w:rPr>
        <w:t>Advertising a vacancy and applying for the position</w:t>
      </w:r>
      <w:r w:rsidR="000A1C4F" w:rsidRPr="005A619D">
        <w:rPr>
          <w:lang w:val="en-US"/>
        </w:rPr>
        <w:t>,</w:t>
      </w:r>
    </w:p>
    <w:p w14:paraId="49522685" w14:textId="6881252E" w:rsidR="000A1C4F" w:rsidRPr="005A619D" w:rsidRDefault="005A619D" w:rsidP="001907C2">
      <w:pPr>
        <w:pStyle w:val="Akapitzlist"/>
        <w:numPr>
          <w:ilvl w:val="0"/>
          <w:numId w:val="8"/>
        </w:numPr>
        <w:spacing w:before="120" w:after="120" w:line="240" w:lineRule="auto"/>
        <w:ind w:left="426" w:hanging="284"/>
        <w:jc w:val="both"/>
        <w:rPr>
          <w:lang w:val="en-US"/>
        </w:rPr>
      </w:pPr>
      <w:r w:rsidRPr="005A619D">
        <w:rPr>
          <w:lang w:val="en-US"/>
        </w:rPr>
        <w:t>Selection and evaluation of applicants</w:t>
      </w:r>
      <w:r w:rsidR="000A1C4F" w:rsidRPr="005A619D">
        <w:rPr>
          <w:lang w:val="en-US"/>
        </w:rPr>
        <w:t>,</w:t>
      </w:r>
    </w:p>
    <w:p w14:paraId="6F9C993A" w14:textId="4C1C141A" w:rsidR="000A1C4F" w:rsidRDefault="005A619D" w:rsidP="001907C2">
      <w:pPr>
        <w:pStyle w:val="Akapitzlist"/>
        <w:numPr>
          <w:ilvl w:val="0"/>
          <w:numId w:val="8"/>
        </w:numPr>
        <w:spacing w:before="120" w:after="120" w:line="240" w:lineRule="auto"/>
        <w:ind w:left="426" w:hanging="284"/>
        <w:jc w:val="both"/>
      </w:pPr>
      <w:proofErr w:type="spellStart"/>
      <w:r>
        <w:t>Appointment</w:t>
      </w:r>
      <w:proofErr w:type="spellEnd"/>
    </w:p>
    <w:p w14:paraId="65AF28E6" w14:textId="674BB5E1" w:rsidR="000A1C4F" w:rsidRPr="005A619D" w:rsidRDefault="005A619D" w:rsidP="000A1C4F">
      <w:pPr>
        <w:spacing w:before="120" w:after="120" w:line="240" w:lineRule="auto"/>
        <w:jc w:val="both"/>
        <w:rPr>
          <w:lang w:val="en-US"/>
        </w:rPr>
      </w:pPr>
      <w:r w:rsidRPr="005A619D">
        <w:rPr>
          <w:lang w:val="en-US"/>
        </w:rPr>
        <w:t xml:space="preserve">as introduced in the Rector’s Regulation No. </w:t>
      </w:r>
      <w:r w:rsidR="000A1C4F" w:rsidRPr="005A619D">
        <w:rPr>
          <w:lang w:val="en-US"/>
        </w:rPr>
        <w:t xml:space="preserve">109/2020 </w:t>
      </w:r>
      <w:r w:rsidRPr="005A619D">
        <w:rPr>
          <w:lang w:val="en-US"/>
        </w:rPr>
        <w:t xml:space="preserve">Guidelines for </w:t>
      </w:r>
      <w:r w:rsidR="009E43FA">
        <w:rPr>
          <w:lang w:val="en-US"/>
        </w:rPr>
        <w:t xml:space="preserve">Academic Staff Employment </w:t>
      </w:r>
      <w:r>
        <w:rPr>
          <w:lang w:val="en-US"/>
        </w:rPr>
        <w:t>at PUEB</w:t>
      </w:r>
      <w:r w:rsidR="000A1C4F" w:rsidRPr="005A619D">
        <w:rPr>
          <w:lang w:val="en-US"/>
        </w:rPr>
        <w:t>.</w:t>
      </w:r>
    </w:p>
    <w:p w14:paraId="36EEEDA2" w14:textId="77777777" w:rsidR="00F7092A" w:rsidRPr="00F7092A" w:rsidRDefault="00F7092A" w:rsidP="00F7092A">
      <w:pPr>
        <w:spacing w:before="120" w:after="120" w:line="240" w:lineRule="auto"/>
        <w:jc w:val="both"/>
        <w:rPr>
          <w:lang w:val="en-US"/>
        </w:rPr>
      </w:pPr>
      <w:r w:rsidRPr="00F7092A">
        <w:rPr>
          <w:lang w:val="en-US"/>
        </w:rPr>
        <w:t xml:space="preserve">This document clarifies legislative pathways and issues not covered in the Guidelines. </w:t>
      </w:r>
    </w:p>
    <w:p w14:paraId="071F32A7" w14:textId="77777777" w:rsidR="00F7092A" w:rsidRPr="00F7092A" w:rsidRDefault="00F7092A" w:rsidP="00F7092A">
      <w:pPr>
        <w:spacing w:before="120" w:after="120" w:line="240" w:lineRule="auto"/>
        <w:jc w:val="both"/>
        <w:rPr>
          <w:b/>
          <w:lang w:val="en-US"/>
        </w:rPr>
      </w:pPr>
      <w:r w:rsidRPr="00F7092A">
        <w:rPr>
          <w:b/>
          <w:lang w:val="en-US"/>
        </w:rPr>
        <w:t>1) Advertising a vacancy and applying for a position</w:t>
      </w:r>
    </w:p>
    <w:p w14:paraId="52E6D921" w14:textId="77777777" w:rsidR="00F7092A" w:rsidRPr="00F7092A" w:rsidRDefault="00F7092A" w:rsidP="00F7092A">
      <w:pPr>
        <w:spacing w:before="120" w:after="120" w:line="240" w:lineRule="auto"/>
        <w:jc w:val="both"/>
        <w:rPr>
          <w:lang w:val="en-US"/>
        </w:rPr>
      </w:pPr>
      <w:r w:rsidRPr="00F7092A">
        <w:rPr>
          <w:lang w:val="en-US"/>
        </w:rPr>
        <w:t xml:space="preserve">The prerequisite for starting the procedure for the first and any subsequent employment of an academic staff member is the submission of an application for a full-time position or part thereof to the PUEB Rector. </w:t>
      </w:r>
    </w:p>
    <w:p w14:paraId="7D24A41F" w14:textId="5329D469" w:rsidR="00F7092A" w:rsidRPr="00F7092A" w:rsidRDefault="00F7092A" w:rsidP="00F7092A">
      <w:pPr>
        <w:spacing w:before="120" w:after="120" w:line="240" w:lineRule="auto"/>
        <w:jc w:val="both"/>
        <w:rPr>
          <w:lang w:val="en-US"/>
        </w:rPr>
      </w:pPr>
      <w:r w:rsidRPr="00F7092A">
        <w:rPr>
          <w:lang w:val="en-US"/>
        </w:rPr>
        <w:t>Further steps in the employment procedure may be taken only after a positive decision of the Rector to grant a full</w:t>
      </w:r>
      <w:r w:rsidR="009E43FA">
        <w:rPr>
          <w:lang w:val="en-US"/>
        </w:rPr>
        <w:t>-time position has been issued.</w:t>
      </w:r>
    </w:p>
    <w:p w14:paraId="01B93100" w14:textId="77777777" w:rsidR="00F7092A" w:rsidRPr="00F7092A" w:rsidRDefault="00F7092A" w:rsidP="00F7092A">
      <w:pPr>
        <w:spacing w:before="120" w:after="120" w:line="240" w:lineRule="auto"/>
        <w:jc w:val="both"/>
        <w:rPr>
          <w:lang w:val="en-US"/>
        </w:rPr>
      </w:pPr>
      <w:r w:rsidRPr="00F7092A">
        <w:rPr>
          <w:lang w:val="en-US"/>
        </w:rPr>
        <w:t>The first employment relationship with an academic staff member for an indefinite or fixed term of more than 3 months, exceeding half-time, shall be established following an open competition, subject to the exceptions indicated in the Act.</w:t>
      </w:r>
    </w:p>
    <w:p w14:paraId="38998AAB" w14:textId="77777777" w:rsidR="00F7092A" w:rsidRPr="00F7092A" w:rsidRDefault="00F7092A" w:rsidP="00F7092A">
      <w:pPr>
        <w:spacing w:before="120" w:after="120" w:line="240" w:lineRule="auto"/>
        <w:jc w:val="both"/>
        <w:rPr>
          <w:lang w:val="en-US"/>
        </w:rPr>
      </w:pPr>
      <w:r w:rsidRPr="00F7092A">
        <w:rPr>
          <w:lang w:val="en-US"/>
        </w:rPr>
        <w:t xml:space="preserve">The rules for advertising a vacancy and the procedure for the competition are laid down in the Statutes. </w:t>
      </w:r>
    </w:p>
    <w:p w14:paraId="2C149887" w14:textId="75698867" w:rsidR="000A1C4F" w:rsidRPr="00F7092A" w:rsidRDefault="00F7092A" w:rsidP="00F7092A">
      <w:pPr>
        <w:spacing w:before="120" w:after="120" w:line="240" w:lineRule="auto"/>
        <w:jc w:val="both"/>
        <w:rPr>
          <w:lang w:val="en-US"/>
        </w:rPr>
      </w:pPr>
      <w:r w:rsidRPr="00F7092A">
        <w:rPr>
          <w:lang w:val="en-US"/>
        </w:rPr>
        <w:t>The competition is announced by the Rector.</w:t>
      </w:r>
    </w:p>
    <w:p w14:paraId="2D2C2ACB" w14:textId="590FC333" w:rsidR="000A1C4F" w:rsidRPr="00F7092A" w:rsidRDefault="00F7092A" w:rsidP="000A1C4F">
      <w:pPr>
        <w:spacing w:before="120" w:after="120" w:line="240" w:lineRule="auto"/>
        <w:jc w:val="both"/>
        <w:rPr>
          <w:lang w:val="en-US"/>
        </w:rPr>
      </w:pPr>
      <w:r w:rsidRPr="00F7092A">
        <w:rPr>
          <w:lang w:val="en-US"/>
        </w:rPr>
        <w:t>Vacancies are advertised in both Polish and English, with a minimum period of publication of 30 days. Specialists in the Human Resources Division are responsible for posting job offers</w:t>
      </w:r>
      <w:r>
        <w:rPr>
          <w:lang w:val="en-US"/>
        </w:rPr>
        <w:t xml:space="preserve"> online</w:t>
      </w:r>
      <w:r w:rsidR="000A1C4F" w:rsidRPr="00F7092A">
        <w:rPr>
          <w:lang w:val="en-US"/>
        </w:rPr>
        <w:t xml:space="preserve">. </w:t>
      </w:r>
    </w:p>
    <w:p w14:paraId="1272669F" w14:textId="42248625" w:rsidR="000A1C4F" w:rsidRPr="00A9086F" w:rsidRDefault="00A9086F" w:rsidP="000A1C4F">
      <w:pPr>
        <w:spacing w:before="120" w:after="120" w:line="240" w:lineRule="auto"/>
        <w:jc w:val="both"/>
        <w:rPr>
          <w:lang w:val="en-US"/>
        </w:rPr>
      </w:pPr>
      <w:r w:rsidRPr="00A9086F">
        <w:rPr>
          <w:lang w:val="en-US"/>
        </w:rPr>
        <w:t>The websites on which the advertisements are posted include</w:t>
      </w:r>
      <w:r w:rsidR="000A1C4F" w:rsidRPr="00A9086F">
        <w:rPr>
          <w:lang w:val="en-US"/>
        </w:rPr>
        <w:t>:</w:t>
      </w:r>
    </w:p>
    <w:p w14:paraId="49D79011" w14:textId="30373E98" w:rsidR="000A1C4F" w:rsidRDefault="00A9086F" w:rsidP="000A1C4F">
      <w:pPr>
        <w:pStyle w:val="Akapitzlist"/>
        <w:numPr>
          <w:ilvl w:val="0"/>
          <w:numId w:val="6"/>
        </w:numPr>
        <w:spacing w:before="120" w:after="120" w:line="240" w:lineRule="auto"/>
        <w:ind w:left="284" w:hanging="284"/>
        <w:jc w:val="both"/>
      </w:pPr>
      <w:r w:rsidRPr="00A0057D">
        <w:rPr>
          <w:lang w:val="en-US"/>
        </w:rPr>
        <w:t>in  Polish</w:t>
      </w:r>
      <w:r w:rsidR="000A1C4F" w:rsidRPr="00A0057D">
        <w:rPr>
          <w:lang w:val="en-US"/>
        </w:rPr>
        <w:t>:</w:t>
      </w:r>
      <w:r w:rsidR="000A1C4F">
        <w:t xml:space="preserve"> </w:t>
      </w:r>
    </w:p>
    <w:p w14:paraId="2955D355" w14:textId="77777777" w:rsidR="00A0057D" w:rsidRDefault="00A9086F" w:rsidP="00A9086F">
      <w:pPr>
        <w:pStyle w:val="Akapitzlist"/>
        <w:numPr>
          <w:ilvl w:val="0"/>
          <w:numId w:val="9"/>
        </w:numPr>
        <w:spacing w:before="120" w:after="120" w:line="240" w:lineRule="auto"/>
        <w:jc w:val="both"/>
        <w:rPr>
          <w:lang w:val="en-US"/>
        </w:rPr>
      </w:pPr>
      <w:proofErr w:type="spellStart"/>
      <w:r w:rsidRPr="00A9086F">
        <w:rPr>
          <w:lang w:val="en-US"/>
        </w:rPr>
        <w:t>Poznań</w:t>
      </w:r>
      <w:proofErr w:type="spellEnd"/>
      <w:r w:rsidRPr="00A9086F">
        <w:rPr>
          <w:lang w:val="en-US"/>
        </w:rPr>
        <w:t xml:space="preserve"> University of Economics and Business</w:t>
      </w:r>
      <w:r w:rsidR="00A0057D">
        <w:rPr>
          <w:lang w:val="en-US"/>
        </w:rPr>
        <w:t xml:space="preserve"> website</w:t>
      </w:r>
    </w:p>
    <w:p w14:paraId="205DB8F4" w14:textId="7C468001" w:rsidR="00A9086F" w:rsidRPr="00A9086F" w:rsidRDefault="00A9086F" w:rsidP="00A0057D">
      <w:pPr>
        <w:pStyle w:val="Akapitzlist"/>
        <w:spacing w:before="120" w:after="120" w:line="240" w:lineRule="auto"/>
        <w:jc w:val="both"/>
        <w:rPr>
          <w:lang w:val="en-US"/>
        </w:rPr>
      </w:pPr>
      <w:r w:rsidRPr="00A9086F">
        <w:rPr>
          <w:lang w:val="en-US"/>
        </w:rPr>
        <w:t>https://ue.poznan.pl/pl/uniwersytet.c13/oferty-pracy-na-uep.c36/oferty-dla-nauczycieli-akademickich.c13336/</w:t>
      </w:r>
    </w:p>
    <w:p w14:paraId="41858C62" w14:textId="2A15CA15" w:rsidR="00A9086F" w:rsidRDefault="00A9086F" w:rsidP="00A9086F">
      <w:pPr>
        <w:pStyle w:val="Akapitzlist"/>
        <w:numPr>
          <w:ilvl w:val="0"/>
          <w:numId w:val="9"/>
        </w:numPr>
        <w:spacing w:before="120" w:after="120" w:line="240" w:lineRule="auto"/>
        <w:jc w:val="both"/>
        <w:rPr>
          <w:lang w:val="en-US"/>
        </w:rPr>
      </w:pPr>
      <w:r w:rsidRPr="00A9086F">
        <w:rPr>
          <w:lang w:val="en-US"/>
        </w:rPr>
        <w:lastRenderedPageBreak/>
        <w:t xml:space="preserve">Ministry of Education and Science website </w:t>
      </w:r>
      <w:hyperlink r:id="rId7" w:history="1">
        <w:r w:rsidRPr="00F07E9B">
          <w:rPr>
            <w:rStyle w:val="Hipercze"/>
            <w:lang w:val="en-US"/>
          </w:rPr>
          <w:t>https://bazaogloszen.nauka.gov.pl/</w:t>
        </w:r>
      </w:hyperlink>
    </w:p>
    <w:p w14:paraId="08411683" w14:textId="13853FB0" w:rsidR="00A9086F" w:rsidRDefault="00A9086F" w:rsidP="00A9086F">
      <w:pPr>
        <w:pStyle w:val="Akapitzlist"/>
        <w:numPr>
          <w:ilvl w:val="0"/>
          <w:numId w:val="9"/>
        </w:numPr>
        <w:spacing w:before="120" w:after="120" w:line="240" w:lineRule="auto"/>
        <w:jc w:val="both"/>
        <w:rPr>
          <w:lang w:val="en-US"/>
        </w:rPr>
      </w:pPr>
      <w:r w:rsidRPr="00A9086F">
        <w:rPr>
          <w:lang w:val="en-US"/>
        </w:rPr>
        <w:t>PUEB Pub</w:t>
      </w:r>
      <w:r w:rsidR="00A0057D">
        <w:rPr>
          <w:lang w:val="en-US"/>
        </w:rPr>
        <w:t>lic Information Bulletin</w:t>
      </w:r>
      <w:r w:rsidRPr="00A9086F">
        <w:rPr>
          <w:lang w:val="en-US"/>
        </w:rPr>
        <w:t xml:space="preserve"> at </w:t>
      </w:r>
      <w:hyperlink r:id="rId8" w:history="1">
        <w:r w:rsidRPr="00F07E9B">
          <w:rPr>
            <w:rStyle w:val="Hipercze"/>
            <w:lang w:val="en-US"/>
          </w:rPr>
          <w:t>https://bip.ue.poznan.pl/59/101/oferty-dla-nauczycieli-akademickich.html</w:t>
        </w:r>
      </w:hyperlink>
      <w:r w:rsidRPr="00A9086F">
        <w:rPr>
          <w:lang w:val="en-US"/>
        </w:rPr>
        <w:t xml:space="preserve"> </w:t>
      </w:r>
    </w:p>
    <w:p w14:paraId="746FE1EE" w14:textId="486E6DA8" w:rsidR="000A1C4F" w:rsidRPr="00A9086F" w:rsidRDefault="00A9086F" w:rsidP="00A9086F">
      <w:pPr>
        <w:pStyle w:val="Akapitzlist"/>
        <w:numPr>
          <w:ilvl w:val="0"/>
          <w:numId w:val="10"/>
        </w:numPr>
        <w:spacing w:before="120" w:after="120" w:line="240" w:lineRule="auto"/>
        <w:ind w:left="284" w:hanging="284"/>
        <w:jc w:val="both"/>
        <w:rPr>
          <w:lang w:val="en-US"/>
        </w:rPr>
      </w:pPr>
      <w:r>
        <w:rPr>
          <w:lang w:val="en-US"/>
        </w:rPr>
        <w:t>in English</w:t>
      </w:r>
      <w:r w:rsidR="000A1C4F" w:rsidRPr="00A9086F">
        <w:rPr>
          <w:lang w:val="en-US"/>
        </w:rPr>
        <w:t>:</w:t>
      </w:r>
    </w:p>
    <w:p w14:paraId="17F3A2B8" w14:textId="1EC56082" w:rsidR="000A1C4F" w:rsidRPr="00A0057D" w:rsidRDefault="000A1C4F" w:rsidP="00A0057D">
      <w:pPr>
        <w:pStyle w:val="Akapitzlist"/>
        <w:numPr>
          <w:ilvl w:val="0"/>
          <w:numId w:val="7"/>
        </w:numPr>
        <w:spacing w:before="120" w:after="120" w:line="240" w:lineRule="auto"/>
        <w:jc w:val="both"/>
        <w:rPr>
          <w:lang w:val="en-US"/>
        </w:rPr>
      </w:pPr>
      <w:proofErr w:type="spellStart"/>
      <w:r w:rsidRPr="00A0057D">
        <w:rPr>
          <w:lang w:val="en-US"/>
        </w:rPr>
        <w:t>Euraxess</w:t>
      </w:r>
      <w:proofErr w:type="spellEnd"/>
      <w:r w:rsidRPr="00A0057D">
        <w:rPr>
          <w:lang w:val="en-US"/>
        </w:rPr>
        <w:t xml:space="preserve"> </w:t>
      </w:r>
      <w:hyperlink r:id="rId9" w:history="1">
        <w:r w:rsidRPr="00A0057D">
          <w:rPr>
            <w:lang w:val="en-US"/>
          </w:rPr>
          <w:t>https://euraxess.ec.europa.eu/</w:t>
        </w:r>
      </w:hyperlink>
    </w:p>
    <w:p w14:paraId="78B627BD" w14:textId="56C621EF" w:rsidR="000A1C4F" w:rsidRPr="00E61ECD" w:rsidRDefault="00E61ECD" w:rsidP="000A1C4F">
      <w:pPr>
        <w:spacing w:before="120" w:after="120" w:line="240" w:lineRule="auto"/>
        <w:jc w:val="both"/>
        <w:rPr>
          <w:lang w:val="en-US"/>
        </w:rPr>
      </w:pPr>
      <w:r w:rsidRPr="00E61ECD">
        <w:rPr>
          <w:lang w:val="en-US"/>
        </w:rPr>
        <w:t xml:space="preserve">Applicants for the position to be filled by the competition shall e-mail their applications </w:t>
      </w:r>
      <w:r>
        <w:rPr>
          <w:lang w:val="en-US"/>
        </w:rPr>
        <w:t>to</w:t>
      </w:r>
      <w:r w:rsidR="000A1C4F" w:rsidRPr="00E61ECD">
        <w:rPr>
          <w:lang w:val="en-US"/>
        </w:rPr>
        <w:t xml:space="preserve">: </w:t>
      </w:r>
      <w:hyperlink r:id="rId10" w:history="1">
        <w:r w:rsidR="000A1C4F" w:rsidRPr="00E61ECD">
          <w:rPr>
            <w:rStyle w:val="Hipercze"/>
            <w:rFonts w:ascii="Calibri" w:hAnsi="Calibri" w:cs="Calibri"/>
            <w:color w:val="auto"/>
            <w:lang w:val="en-US"/>
          </w:rPr>
          <w:t>rekrutacja-dsp@ue.poznan.pl</w:t>
        </w:r>
      </w:hyperlink>
      <w:r w:rsidR="000A1C4F" w:rsidRPr="00E61ECD">
        <w:rPr>
          <w:lang w:val="en-US"/>
        </w:rPr>
        <w:t xml:space="preserve">. </w:t>
      </w:r>
    </w:p>
    <w:p w14:paraId="7F1F65A8" w14:textId="06E65E7D" w:rsidR="000A1C4F" w:rsidRPr="00D017F8" w:rsidRDefault="00E61ECD" w:rsidP="000A1C4F">
      <w:pPr>
        <w:pStyle w:val="Nagwek5"/>
        <w:tabs>
          <w:tab w:val="left" w:pos="142"/>
          <w:tab w:val="left" w:pos="284"/>
        </w:tabs>
        <w:spacing w:before="120" w:after="120" w:line="240" w:lineRule="auto"/>
        <w:rPr>
          <w:lang w:val="en-US"/>
        </w:rPr>
      </w:pPr>
      <w:r w:rsidRPr="00D017F8">
        <w:rPr>
          <w:b/>
          <w:bCs/>
          <w:color w:val="auto"/>
          <w:lang w:val="en-US"/>
        </w:rPr>
        <w:t>2)</w:t>
      </w:r>
      <w:r w:rsidRPr="00D017F8">
        <w:rPr>
          <w:b/>
          <w:bCs/>
          <w:color w:val="auto"/>
          <w:lang w:val="en-US"/>
        </w:rPr>
        <w:tab/>
        <w:t>Selection and evaluation of applicants</w:t>
      </w:r>
    </w:p>
    <w:p w14:paraId="761A9D53" w14:textId="77777777" w:rsidR="003D159D" w:rsidRPr="003D159D" w:rsidRDefault="003D159D" w:rsidP="003D159D">
      <w:pPr>
        <w:spacing w:before="120" w:after="120" w:line="240" w:lineRule="auto"/>
        <w:jc w:val="both"/>
        <w:rPr>
          <w:lang w:val="en-US"/>
        </w:rPr>
      </w:pPr>
      <w:r w:rsidRPr="003D159D">
        <w:rPr>
          <w:lang w:val="en-US"/>
        </w:rPr>
        <w:t xml:space="preserve">The selection committee assesses the eligibility of candidates on the basis of the criteria indicated in the competition. </w:t>
      </w:r>
    </w:p>
    <w:p w14:paraId="76127E86" w14:textId="77777777" w:rsidR="003D159D" w:rsidRPr="003D159D" w:rsidRDefault="003D159D" w:rsidP="003D159D">
      <w:pPr>
        <w:spacing w:before="120" w:after="120" w:line="240" w:lineRule="auto"/>
        <w:jc w:val="both"/>
        <w:rPr>
          <w:lang w:val="en-US"/>
        </w:rPr>
      </w:pPr>
      <w:r w:rsidRPr="003D159D">
        <w:rPr>
          <w:lang w:val="en-US"/>
        </w:rPr>
        <w:t>Each committee needs to have, as a mandatory member, a teaching competence expert in the Professional Competence Development Team of the Human Resources Division.</w:t>
      </w:r>
    </w:p>
    <w:p w14:paraId="5C00075E" w14:textId="40EE303D" w:rsidR="000A1C4F" w:rsidRPr="003D159D" w:rsidRDefault="003D159D" w:rsidP="003D159D">
      <w:pPr>
        <w:spacing w:before="120" w:after="120" w:line="240" w:lineRule="auto"/>
        <w:jc w:val="both"/>
        <w:rPr>
          <w:lang w:val="en-US"/>
        </w:rPr>
      </w:pPr>
      <w:r w:rsidRPr="003D159D">
        <w:rPr>
          <w:lang w:val="en-US"/>
        </w:rPr>
        <w:t>All committee members have to bring diversity of expertise and competencies, and proceed accordingly to the procedures for the different researcher categories. What is more, selection committees should be w</w:t>
      </w:r>
      <w:r>
        <w:rPr>
          <w:lang w:val="en-US"/>
        </w:rPr>
        <w:t>ell balanced in terms of gender</w:t>
      </w:r>
      <w:r w:rsidR="000A1C4F" w:rsidRPr="003D159D">
        <w:rPr>
          <w:lang w:val="en-US"/>
        </w:rPr>
        <w:t xml:space="preserve">. </w:t>
      </w:r>
    </w:p>
    <w:p w14:paraId="082788C7" w14:textId="23CC87B0" w:rsidR="000A1C4F" w:rsidRPr="003D159D" w:rsidRDefault="003D159D" w:rsidP="000A1C4F">
      <w:pPr>
        <w:spacing w:before="120" w:after="120" w:line="240" w:lineRule="auto"/>
        <w:jc w:val="both"/>
        <w:rPr>
          <w:lang w:val="en-US"/>
        </w:rPr>
      </w:pPr>
      <w:r w:rsidRPr="003D159D">
        <w:rPr>
          <w:lang w:val="en-US"/>
        </w:rPr>
        <w:t>Commit</w:t>
      </w:r>
      <w:r>
        <w:rPr>
          <w:lang w:val="en-US"/>
        </w:rPr>
        <w:t xml:space="preserve">tees are obliged to ensure </w:t>
      </w:r>
      <w:r w:rsidRPr="003D159D">
        <w:rPr>
          <w:lang w:val="en-US"/>
        </w:rPr>
        <w:t>the gender balance of appl</w:t>
      </w:r>
      <w:r>
        <w:rPr>
          <w:lang w:val="en-US"/>
        </w:rPr>
        <w:t>icants invited to</w:t>
      </w:r>
      <w:r w:rsidRPr="003D159D">
        <w:rPr>
          <w:lang w:val="en-US"/>
        </w:rPr>
        <w:t xml:space="preserve"> recruitment interviews.</w:t>
      </w:r>
      <w:r w:rsidR="000A1C4F" w:rsidRPr="003D159D">
        <w:rPr>
          <w:lang w:val="en-US"/>
        </w:rPr>
        <w:t xml:space="preserve"> </w:t>
      </w:r>
    </w:p>
    <w:p w14:paraId="6FB6F5C9" w14:textId="71CAB9B2" w:rsidR="000A1C4F" w:rsidRPr="003D159D" w:rsidRDefault="003D159D" w:rsidP="000A1C4F">
      <w:pPr>
        <w:spacing w:before="120" w:after="120" w:line="240" w:lineRule="auto"/>
        <w:jc w:val="both"/>
        <w:rPr>
          <w:lang w:val="en-US"/>
        </w:rPr>
      </w:pPr>
      <w:r w:rsidRPr="003D159D">
        <w:rPr>
          <w:lang w:val="en-US"/>
        </w:rPr>
        <w:t>The Rector has the final say in the employment decision</w:t>
      </w:r>
      <w:r w:rsidR="000A1C4F" w:rsidRPr="003D159D">
        <w:rPr>
          <w:lang w:val="en-US"/>
        </w:rPr>
        <w:t>.</w:t>
      </w:r>
    </w:p>
    <w:p w14:paraId="2AA7E437" w14:textId="77777777" w:rsidR="00F13456" w:rsidRDefault="00F13456" w:rsidP="000A1C4F">
      <w:pPr>
        <w:spacing w:before="120" w:after="120" w:line="240" w:lineRule="auto"/>
        <w:jc w:val="both"/>
        <w:rPr>
          <w:lang w:val="en-US"/>
        </w:rPr>
      </w:pPr>
      <w:r w:rsidRPr="00F13456">
        <w:rPr>
          <w:lang w:val="en-US"/>
        </w:rPr>
        <w:t>Information on the outcome of the competition is published by the Human</w:t>
      </w:r>
      <w:r>
        <w:rPr>
          <w:lang w:val="en-US"/>
        </w:rPr>
        <w:t xml:space="preserve"> Resources Division on the PUEB’</w:t>
      </w:r>
      <w:r w:rsidRPr="00F13456">
        <w:rPr>
          <w:lang w:val="en-US"/>
        </w:rPr>
        <w:t>s Public Information Bulletin (BIP) website: https://bip.ue.poznan.pl/59/101/oferty-dl</w:t>
      </w:r>
      <w:r>
        <w:rPr>
          <w:lang w:val="en-US"/>
        </w:rPr>
        <w:t>a-nauczycieli-akademickich.html</w:t>
      </w:r>
      <w:r w:rsidRPr="00F13456">
        <w:rPr>
          <w:lang w:val="en-US"/>
        </w:rPr>
        <w:t xml:space="preserve">, and also sent to: pracawnauce@mein.gov.pl, where designated persons from the Ministry of Education and Science publish </w:t>
      </w:r>
      <w:r>
        <w:rPr>
          <w:lang w:val="en-US"/>
        </w:rPr>
        <w:t>the information on the Ministry’</w:t>
      </w:r>
      <w:r w:rsidRPr="00F13456">
        <w:rPr>
          <w:lang w:val="en-US"/>
        </w:rPr>
        <w:t>s website.</w:t>
      </w:r>
      <w:r w:rsidR="000A1C4F" w:rsidRPr="00F13456">
        <w:rPr>
          <w:lang w:val="en-US"/>
        </w:rPr>
        <w:t xml:space="preserve"> </w:t>
      </w:r>
    </w:p>
    <w:p w14:paraId="59000266" w14:textId="1DA568A6" w:rsidR="000A1C4F" w:rsidRPr="00F13456" w:rsidRDefault="00F13456" w:rsidP="000A1C4F">
      <w:pPr>
        <w:spacing w:before="120" w:after="120" w:line="240" w:lineRule="auto"/>
        <w:jc w:val="both"/>
        <w:rPr>
          <w:lang w:val="en-US"/>
        </w:rPr>
      </w:pPr>
      <w:r w:rsidRPr="00F13456">
        <w:rPr>
          <w:lang w:val="en-US"/>
        </w:rPr>
        <w:t>The results of the competition are not announced on the EURAXESS website. Employment of an academic staff member takes place on either 1 October or 1 Februar</w:t>
      </w:r>
      <w:r>
        <w:rPr>
          <w:lang w:val="en-US"/>
        </w:rPr>
        <w:t>y</w:t>
      </w:r>
      <w:r w:rsidR="000A1C4F" w:rsidRPr="00F13456">
        <w:rPr>
          <w:lang w:val="en-US"/>
        </w:rPr>
        <w:t xml:space="preserve">. </w:t>
      </w:r>
    </w:p>
    <w:p w14:paraId="7068EFEC" w14:textId="0B683EE0" w:rsidR="000A1C4F" w:rsidRPr="00E20D47" w:rsidRDefault="003D159D" w:rsidP="000A1C4F">
      <w:pPr>
        <w:pStyle w:val="Nagwek5"/>
        <w:tabs>
          <w:tab w:val="left" w:pos="142"/>
          <w:tab w:val="left" w:pos="284"/>
        </w:tabs>
        <w:spacing w:before="120" w:after="120" w:line="240" w:lineRule="auto"/>
        <w:rPr>
          <w:b/>
          <w:bCs/>
          <w:color w:val="auto"/>
          <w:lang w:val="en-US"/>
        </w:rPr>
      </w:pPr>
      <w:r w:rsidRPr="00E20D47">
        <w:rPr>
          <w:b/>
          <w:bCs/>
          <w:color w:val="auto"/>
          <w:lang w:val="en-US"/>
        </w:rPr>
        <w:t>3)</w:t>
      </w:r>
      <w:r w:rsidRPr="00E20D47">
        <w:rPr>
          <w:b/>
          <w:bCs/>
          <w:color w:val="auto"/>
          <w:lang w:val="en-US"/>
        </w:rPr>
        <w:tab/>
        <w:t>Appointment</w:t>
      </w:r>
    </w:p>
    <w:p w14:paraId="0699D245" w14:textId="77777777" w:rsidR="00E20D47" w:rsidRPr="00E20D47" w:rsidRDefault="00E20D47" w:rsidP="00E20D47">
      <w:pPr>
        <w:spacing w:before="120" w:after="120" w:line="240" w:lineRule="auto"/>
        <w:jc w:val="both"/>
        <w:rPr>
          <w:lang w:val="en-US"/>
        </w:rPr>
      </w:pPr>
      <w:r w:rsidRPr="00E20D47">
        <w:rPr>
          <w:lang w:val="en-US"/>
        </w:rPr>
        <w:t>The first employment at the University shall be on the basis of an employment contract for a fixed period of up to 4 years, with a period of employment of less than 4 years to be justified by the applicant. The above rule does not exclude the possibility of early promotion to a higher position if the requirements specified for that position are met. Subsequent employment shall be on the basis of a contract of employment for an indefinite period, after the teacher has received a positive performance appraisal as referred to in Section 128 of the Act.</w:t>
      </w:r>
    </w:p>
    <w:p w14:paraId="34F71DE7" w14:textId="48823110" w:rsidR="000A1C4F" w:rsidRPr="00E20D47" w:rsidRDefault="00E20D47" w:rsidP="00E20D47">
      <w:pPr>
        <w:spacing w:before="120" w:after="120" w:line="240" w:lineRule="auto"/>
        <w:jc w:val="both"/>
        <w:rPr>
          <w:lang w:val="en-US"/>
        </w:rPr>
      </w:pPr>
      <w:r w:rsidRPr="00E20D47">
        <w:rPr>
          <w:lang w:val="en-US"/>
        </w:rPr>
        <w:t>We do not envisage the possibility to appeal against the decision in the competition procedure, except for the situatio</w:t>
      </w:r>
      <w:r>
        <w:rPr>
          <w:lang w:val="en-US"/>
        </w:rPr>
        <w:t xml:space="preserve">ns regulated by the </w:t>
      </w:r>
      <w:proofErr w:type="spellStart"/>
      <w:r>
        <w:rPr>
          <w:lang w:val="en-US"/>
        </w:rPr>
        <w:t>Labour</w:t>
      </w:r>
      <w:proofErr w:type="spellEnd"/>
      <w:r>
        <w:rPr>
          <w:lang w:val="en-US"/>
        </w:rPr>
        <w:t xml:space="preserve"> Code</w:t>
      </w:r>
      <w:r w:rsidR="000A1C4F" w:rsidRPr="00E20D47">
        <w:rPr>
          <w:lang w:val="en-US"/>
        </w:rPr>
        <w:t xml:space="preserve">. </w:t>
      </w:r>
    </w:p>
    <w:p w14:paraId="11844A41" w14:textId="77777777" w:rsidR="000A1C4F" w:rsidRPr="00E20D47" w:rsidRDefault="000A1C4F" w:rsidP="00F4014B">
      <w:pPr>
        <w:spacing w:before="120" w:after="120" w:line="240" w:lineRule="auto"/>
        <w:jc w:val="both"/>
        <w:rPr>
          <w:lang w:val="en-US"/>
        </w:rPr>
      </w:pPr>
    </w:p>
    <w:sectPr w:rsidR="000A1C4F" w:rsidRPr="00E20D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5AF2"/>
    <w:multiLevelType w:val="hybridMultilevel"/>
    <w:tmpl w:val="9B42B4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0D42693"/>
    <w:multiLevelType w:val="hybridMultilevel"/>
    <w:tmpl w:val="0CC64C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F8F0B86"/>
    <w:multiLevelType w:val="hybridMultilevel"/>
    <w:tmpl w:val="821E4FD0"/>
    <w:lvl w:ilvl="0" w:tplc="D1460344">
      <w:start w:val="14"/>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E0E29FE"/>
    <w:multiLevelType w:val="hybridMultilevel"/>
    <w:tmpl w:val="3E70CD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FB63203"/>
    <w:multiLevelType w:val="hybridMultilevel"/>
    <w:tmpl w:val="BC00BFE0"/>
    <w:lvl w:ilvl="0" w:tplc="AD88D8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7755DCB"/>
    <w:multiLevelType w:val="hybridMultilevel"/>
    <w:tmpl w:val="20AA83A0"/>
    <w:lvl w:ilvl="0" w:tplc="AD88D8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A413722"/>
    <w:multiLevelType w:val="hybridMultilevel"/>
    <w:tmpl w:val="A1BC5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C863D39"/>
    <w:multiLevelType w:val="hybridMultilevel"/>
    <w:tmpl w:val="FE92C64A"/>
    <w:lvl w:ilvl="0" w:tplc="AD88D8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0AF3C86"/>
    <w:multiLevelType w:val="hybridMultilevel"/>
    <w:tmpl w:val="974006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416436B"/>
    <w:multiLevelType w:val="hybridMultilevel"/>
    <w:tmpl w:val="974006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8"/>
  </w:num>
  <w:num w:numId="5">
    <w:abstractNumId w:val="6"/>
  </w:num>
  <w:num w:numId="6">
    <w:abstractNumId w:val="7"/>
  </w:num>
  <w:num w:numId="7">
    <w:abstractNumId w:val="0"/>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36"/>
    <w:rsid w:val="000A1C4F"/>
    <w:rsid w:val="000A7326"/>
    <w:rsid w:val="001907C2"/>
    <w:rsid w:val="001916D9"/>
    <w:rsid w:val="00194311"/>
    <w:rsid w:val="00223C65"/>
    <w:rsid w:val="003B618F"/>
    <w:rsid w:val="003D159D"/>
    <w:rsid w:val="003E71BC"/>
    <w:rsid w:val="004333DF"/>
    <w:rsid w:val="00465A28"/>
    <w:rsid w:val="00494526"/>
    <w:rsid w:val="00583E71"/>
    <w:rsid w:val="005A619D"/>
    <w:rsid w:val="005C5D9F"/>
    <w:rsid w:val="005C5F9D"/>
    <w:rsid w:val="005E16DD"/>
    <w:rsid w:val="00646016"/>
    <w:rsid w:val="0069197B"/>
    <w:rsid w:val="0076377A"/>
    <w:rsid w:val="00793E36"/>
    <w:rsid w:val="007F688F"/>
    <w:rsid w:val="009266CC"/>
    <w:rsid w:val="00981A16"/>
    <w:rsid w:val="009E43FA"/>
    <w:rsid w:val="00A0057D"/>
    <w:rsid w:val="00A2037C"/>
    <w:rsid w:val="00A9086F"/>
    <w:rsid w:val="00AE77C1"/>
    <w:rsid w:val="00AF5BF8"/>
    <w:rsid w:val="00B6742F"/>
    <w:rsid w:val="00BA755D"/>
    <w:rsid w:val="00C02C9B"/>
    <w:rsid w:val="00C677FD"/>
    <w:rsid w:val="00CD09DC"/>
    <w:rsid w:val="00CD621F"/>
    <w:rsid w:val="00D017F8"/>
    <w:rsid w:val="00D063A3"/>
    <w:rsid w:val="00D92B00"/>
    <w:rsid w:val="00DE2EB6"/>
    <w:rsid w:val="00E20D47"/>
    <w:rsid w:val="00E422EE"/>
    <w:rsid w:val="00E61ECD"/>
    <w:rsid w:val="00EB6BC6"/>
    <w:rsid w:val="00F13456"/>
    <w:rsid w:val="00F24B52"/>
    <w:rsid w:val="00F32CB3"/>
    <w:rsid w:val="00F4014B"/>
    <w:rsid w:val="00F7092A"/>
    <w:rsid w:val="00FE1DEC"/>
    <w:rsid w:val="00FF44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460D5"/>
  <w15:docId w15:val="{4F188C70-A800-4DEE-B86D-51900428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93E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F24B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F24B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5C5F9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981A1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93E36"/>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F24B52"/>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F24B52"/>
    <w:rPr>
      <w:rFonts w:asciiTheme="majorHAnsi" w:eastAsiaTheme="majorEastAsia" w:hAnsiTheme="majorHAnsi" w:cstheme="majorBidi"/>
      <w:color w:val="1F3763" w:themeColor="accent1" w:themeShade="7F"/>
      <w:sz w:val="24"/>
      <w:szCs w:val="24"/>
    </w:rPr>
  </w:style>
  <w:style w:type="table" w:styleId="Tabela-Siatka">
    <w:name w:val="Table Grid"/>
    <w:basedOn w:val="Standardowy"/>
    <w:uiPriority w:val="39"/>
    <w:unhideWhenUsed/>
    <w:rsid w:val="00C02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E1DEC"/>
    <w:rPr>
      <w:color w:val="0563C1" w:themeColor="hyperlink"/>
      <w:u w:val="single"/>
    </w:rPr>
  </w:style>
  <w:style w:type="character" w:customStyle="1" w:styleId="Nierozpoznanawzmianka1">
    <w:name w:val="Nierozpoznana wzmianka1"/>
    <w:basedOn w:val="Domylnaczcionkaakapitu"/>
    <w:uiPriority w:val="99"/>
    <w:semiHidden/>
    <w:unhideWhenUsed/>
    <w:rsid w:val="00FE1DEC"/>
    <w:rPr>
      <w:color w:val="605E5C"/>
      <w:shd w:val="clear" w:color="auto" w:fill="E1DFDD"/>
    </w:rPr>
  </w:style>
  <w:style w:type="character" w:customStyle="1" w:styleId="Nagwek4Znak">
    <w:name w:val="Nagłówek 4 Znak"/>
    <w:basedOn w:val="Domylnaczcionkaakapitu"/>
    <w:link w:val="Nagwek4"/>
    <w:uiPriority w:val="9"/>
    <w:rsid w:val="005C5F9D"/>
    <w:rPr>
      <w:rFonts w:asciiTheme="majorHAnsi" w:eastAsiaTheme="majorEastAsia" w:hAnsiTheme="majorHAnsi" w:cstheme="majorBidi"/>
      <w:i/>
      <w:iCs/>
      <w:color w:val="2F5496" w:themeColor="accent1" w:themeShade="BF"/>
    </w:rPr>
  </w:style>
  <w:style w:type="paragraph" w:styleId="Akapitzlist">
    <w:name w:val="List Paragraph"/>
    <w:basedOn w:val="Normalny"/>
    <w:uiPriority w:val="34"/>
    <w:qFormat/>
    <w:rsid w:val="005C5D9F"/>
    <w:pPr>
      <w:ind w:left="720"/>
      <w:contextualSpacing/>
    </w:pPr>
  </w:style>
  <w:style w:type="paragraph" w:styleId="Tekstdymka">
    <w:name w:val="Balloon Text"/>
    <w:basedOn w:val="Normalny"/>
    <w:link w:val="TekstdymkaZnak"/>
    <w:uiPriority w:val="99"/>
    <w:semiHidden/>
    <w:unhideWhenUsed/>
    <w:rsid w:val="005C5D9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5D9F"/>
    <w:rPr>
      <w:rFonts w:ascii="Segoe UI" w:hAnsi="Segoe UI" w:cs="Segoe UI"/>
      <w:sz w:val="18"/>
      <w:szCs w:val="18"/>
    </w:rPr>
  </w:style>
  <w:style w:type="character" w:styleId="Odwoaniedokomentarza">
    <w:name w:val="annotation reference"/>
    <w:basedOn w:val="Domylnaczcionkaakapitu"/>
    <w:uiPriority w:val="99"/>
    <w:semiHidden/>
    <w:unhideWhenUsed/>
    <w:rsid w:val="004333DF"/>
    <w:rPr>
      <w:sz w:val="16"/>
      <w:szCs w:val="16"/>
    </w:rPr>
  </w:style>
  <w:style w:type="paragraph" w:styleId="Tekstkomentarza">
    <w:name w:val="annotation text"/>
    <w:basedOn w:val="Normalny"/>
    <w:link w:val="TekstkomentarzaZnak"/>
    <w:uiPriority w:val="99"/>
    <w:semiHidden/>
    <w:unhideWhenUsed/>
    <w:rsid w:val="004333D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33DF"/>
    <w:rPr>
      <w:sz w:val="20"/>
      <w:szCs w:val="20"/>
    </w:rPr>
  </w:style>
  <w:style w:type="paragraph" w:styleId="Tematkomentarza">
    <w:name w:val="annotation subject"/>
    <w:basedOn w:val="Tekstkomentarza"/>
    <w:next w:val="Tekstkomentarza"/>
    <w:link w:val="TematkomentarzaZnak"/>
    <w:uiPriority w:val="99"/>
    <w:semiHidden/>
    <w:unhideWhenUsed/>
    <w:rsid w:val="004333DF"/>
    <w:rPr>
      <w:b/>
      <w:bCs/>
    </w:rPr>
  </w:style>
  <w:style w:type="character" w:customStyle="1" w:styleId="TematkomentarzaZnak">
    <w:name w:val="Temat komentarza Znak"/>
    <w:basedOn w:val="TekstkomentarzaZnak"/>
    <w:link w:val="Tematkomentarza"/>
    <w:uiPriority w:val="99"/>
    <w:semiHidden/>
    <w:rsid w:val="004333DF"/>
    <w:rPr>
      <w:b/>
      <w:bCs/>
      <w:sz w:val="20"/>
      <w:szCs w:val="20"/>
    </w:rPr>
  </w:style>
  <w:style w:type="character" w:customStyle="1" w:styleId="Nagwek5Znak">
    <w:name w:val="Nagłówek 5 Znak"/>
    <w:basedOn w:val="Domylnaczcionkaakapitu"/>
    <w:link w:val="Nagwek5"/>
    <w:uiPriority w:val="9"/>
    <w:rsid w:val="00981A16"/>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e.poznan.pl/59/101/oferty-dla-nauczycieli-akademickich.html" TargetMode="External"/><Relationship Id="rId3" Type="http://schemas.openxmlformats.org/officeDocument/2006/relationships/settings" Target="settings.xml"/><Relationship Id="rId7" Type="http://schemas.openxmlformats.org/officeDocument/2006/relationships/hyperlink" Target="https://bazaogloszen.nauka.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rekrutacja-dsp@ue.poznan.pl" TargetMode="External"/><Relationship Id="rId4" Type="http://schemas.openxmlformats.org/officeDocument/2006/relationships/webSettings" Target="webSettings.xml"/><Relationship Id="rId9" Type="http://schemas.openxmlformats.org/officeDocument/2006/relationships/hyperlink" Target="https://euraxess.ec.europ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857</Words>
  <Characters>5147</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Wawrzyniak</dc:creator>
  <cp:lastModifiedBy>Beata Wawrzyniak</cp:lastModifiedBy>
  <cp:revision>2</cp:revision>
  <dcterms:created xsi:type="dcterms:W3CDTF">2022-10-21T12:08:00Z</dcterms:created>
  <dcterms:modified xsi:type="dcterms:W3CDTF">2022-10-21T12:08:00Z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10e89cc1ae2c406a43463d8190003904fe85d4d6400873ee488ccb4f2b900f7a</vt:lpwstr>
  </property>
</Properties>
</file>